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beforeLines="100" w:line="600" w:lineRule="exact"/>
        <w:jc w:val="center"/>
        <w:rPr>
          <w:b/>
          <w:sz w:val="48"/>
          <w:szCs w:val="48"/>
          <w:lang w:val="en-GB"/>
        </w:rPr>
      </w:pPr>
      <w:bookmarkStart w:id="0" w:name="OLE_LINK3"/>
      <w:r>
        <w:rPr>
          <w:rFonts w:hint="eastAsia"/>
          <w:b/>
          <w:sz w:val="48"/>
          <w:szCs w:val="48"/>
          <w:lang w:val="en-GB"/>
        </w:rPr>
        <w:t>小型工程施工承包合同</w:t>
      </w:r>
    </w:p>
    <w:bookmarkEnd w:id="0"/>
    <w:p>
      <w:pPr>
        <w:pStyle w:val="4"/>
        <w:snapToGrid w:val="0"/>
        <w:spacing w:afterLines="500" w:line="400" w:lineRule="exact"/>
        <w:ind w:right="84" w:rightChars="40" w:firstLine="2547" w:firstLineChars="1153"/>
        <w:rPr>
          <w:rFonts w:ascii="宋体" w:hAnsi="宋体" w:eastAsia="宋体"/>
          <w:b/>
          <w:bCs/>
          <w:sz w:val="22"/>
          <w:szCs w:val="22"/>
        </w:rPr>
      </w:pPr>
    </w:p>
    <w:p>
      <w:pPr>
        <w:pStyle w:val="4"/>
        <w:snapToGrid w:val="0"/>
        <w:spacing w:afterLines="500" w:line="240" w:lineRule="auto"/>
        <w:ind w:right="84" w:rightChars="40" w:firstLine="3241" w:firstLineChars="1153"/>
        <w:rPr>
          <w:rFonts w:hint="eastAsia" w:ascii="宋体" w:hAnsi="宋体" w:eastAsia="宋体"/>
          <w:b/>
          <w:bCs/>
          <w:sz w:val="28"/>
          <w:szCs w:val="28"/>
          <w:u w:val="single"/>
          <w:lang w:val="en-US" w:eastAsia="zh-CN"/>
        </w:rPr>
      </w:pPr>
      <w:r>
        <w:rPr>
          <w:rFonts w:hint="eastAsia" w:ascii="宋体" w:hAnsi="宋体" w:eastAsia="宋体"/>
          <w:b/>
          <w:bCs/>
          <w:sz w:val="28"/>
          <w:szCs w:val="28"/>
        </w:rPr>
        <w:t>合同编号：</w:t>
      </w:r>
      <w:r>
        <w:rPr>
          <w:rFonts w:hint="eastAsia" w:ascii="宋体" w:hAnsi="宋体" w:eastAsia="宋体"/>
          <w:b/>
          <w:bCs/>
          <w:sz w:val="28"/>
          <w:szCs w:val="28"/>
          <w:lang w:val="en-US" w:eastAsia="zh-CN"/>
        </w:rPr>
        <w:t xml:space="preserve"> </w:t>
      </w:r>
      <w:r>
        <w:rPr>
          <w:rFonts w:hint="eastAsia" w:ascii="宋体" w:hAnsi="宋体" w:eastAsia="宋体"/>
          <w:b/>
          <w:bCs/>
          <w:sz w:val="28"/>
          <w:szCs w:val="28"/>
          <w:u w:val="single"/>
          <w:lang w:val="en-US" w:eastAsia="zh-CN"/>
        </w:rPr>
        <w:t xml:space="preserve">          </w:t>
      </w:r>
    </w:p>
    <w:p>
      <w:pPr>
        <w:pStyle w:val="4"/>
        <w:snapToGrid w:val="0"/>
        <w:spacing w:afterLines="500" w:line="400" w:lineRule="exact"/>
        <w:ind w:right="84" w:rightChars="40" w:firstLine="3373" w:firstLineChars="1200"/>
        <w:rPr>
          <w:rFonts w:hint="eastAsia" w:ascii="宋体" w:hAnsi="宋体" w:eastAsia="宋体"/>
          <w:b/>
          <w:bCs/>
          <w:sz w:val="28"/>
          <w:szCs w:val="28"/>
          <w:u w:val="single"/>
          <w:lang w:val="en-US" w:eastAsia="zh-CN"/>
        </w:rPr>
      </w:pPr>
      <w:r>
        <w:rPr>
          <w:rFonts w:hint="eastAsia" w:ascii="宋体" w:hAnsi="宋体" w:eastAsia="宋体"/>
          <w:b/>
          <w:bCs/>
          <w:sz w:val="28"/>
          <w:szCs w:val="28"/>
          <w:lang w:val="en-US" w:eastAsia="zh-CN"/>
        </w:rPr>
        <w:t>合同自编号</w:t>
      </w:r>
      <w:r>
        <w:rPr>
          <w:rFonts w:hint="eastAsia" w:ascii="宋体" w:hAnsi="宋体" w:eastAsia="宋体"/>
          <w:b/>
          <w:bCs/>
          <w:sz w:val="28"/>
          <w:szCs w:val="28"/>
          <w:u w:val="single"/>
          <w:lang w:val="en-US" w:eastAsia="zh-CN"/>
        </w:rPr>
        <w:t xml:space="preserve">               </w:t>
      </w:r>
    </w:p>
    <w:p>
      <w:pPr>
        <w:pStyle w:val="4"/>
        <w:snapToGrid w:val="0"/>
        <w:spacing w:afterLines="500" w:line="400" w:lineRule="exact"/>
        <w:ind w:right="84" w:rightChars="40" w:firstLine="2650" w:firstLineChars="1200"/>
        <w:rPr>
          <w:rFonts w:hint="eastAsia" w:ascii="宋体" w:hAnsi="宋体" w:eastAsia="宋体"/>
          <w:b/>
          <w:bCs/>
          <w:sz w:val="22"/>
          <w:szCs w:val="22"/>
          <w:u w:val="single"/>
          <w:lang w:val="en-US" w:eastAsia="zh-CN"/>
        </w:rPr>
      </w:pPr>
    </w:p>
    <w:p>
      <w:pPr>
        <w:widowControl/>
        <w:spacing w:line="460" w:lineRule="exact"/>
        <w:rPr>
          <w:szCs w:val="21"/>
          <w:lang w:val="en-GB"/>
        </w:rPr>
      </w:pPr>
    </w:p>
    <w:p>
      <w:pPr>
        <w:widowControl/>
        <w:spacing w:line="460" w:lineRule="exact"/>
        <w:rPr>
          <w:sz w:val="28"/>
          <w:szCs w:val="28"/>
          <w:lang w:val="en-GB"/>
        </w:rPr>
      </w:pPr>
    </w:p>
    <w:tbl>
      <w:tblPr>
        <w:tblStyle w:val="9"/>
        <w:tblpPr w:leftFromText="180" w:rightFromText="180" w:vertAnchor="text" w:horzAnchor="page" w:tblpX="2425" w:tblpY="843"/>
        <w:tblOverlap w:val="never"/>
        <w:tblW w:w="7088" w:type="dxa"/>
        <w:tblInd w:w="0" w:type="dxa"/>
        <w:tblLayout w:type="fixed"/>
        <w:tblCellMar>
          <w:top w:w="0" w:type="dxa"/>
          <w:left w:w="108" w:type="dxa"/>
          <w:bottom w:w="0" w:type="dxa"/>
          <w:right w:w="108" w:type="dxa"/>
        </w:tblCellMar>
      </w:tblPr>
      <w:tblGrid>
        <w:gridCol w:w="1680"/>
        <w:gridCol w:w="270"/>
        <w:gridCol w:w="5138"/>
      </w:tblGrid>
      <w:tr>
        <w:tblPrEx>
          <w:tblLayout w:type="fixed"/>
          <w:tblCellMar>
            <w:top w:w="0" w:type="dxa"/>
            <w:left w:w="108" w:type="dxa"/>
            <w:bottom w:w="0" w:type="dxa"/>
            <w:right w:w="108" w:type="dxa"/>
          </w:tblCellMar>
        </w:tblPrEx>
        <w:tc>
          <w:tcPr>
            <w:tcW w:w="1680" w:type="dxa"/>
            <w:vAlign w:val="center"/>
          </w:tcPr>
          <w:p>
            <w:pPr>
              <w:widowControl/>
              <w:adjustRightInd w:val="0"/>
              <w:snapToGrid w:val="0"/>
              <w:spacing w:beforeLines="100" w:afterLines="100" w:line="400" w:lineRule="exact"/>
              <w:jc w:val="right"/>
              <w:rPr>
                <w:b/>
                <w:snapToGrid w:val="0"/>
                <w:sz w:val="28"/>
                <w:szCs w:val="28"/>
              </w:rPr>
            </w:pPr>
            <w:r>
              <w:rPr>
                <w:rFonts w:hAnsi="宋体"/>
                <w:b/>
                <w:snapToGrid w:val="0"/>
                <w:sz w:val="28"/>
                <w:szCs w:val="28"/>
              </w:rPr>
              <w:t xml:space="preserve">  </w:t>
            </w:r>
            <w:r>
              <w:rPr>
                <w:rFonts w:hint="eastAsia" w:hAnsi="宋体"/>
                <w:b/>
                <w:snapToGrid w:val="0"/>
                <w:sz w:val="28"/>
                <w:szCs w:val="28"/>
              </w:rPr>
              <w:t>工程名称</w:t>
            </w:r>
          </w:p>
        </w:tc>
        <w:tc>
          <w:tcPr>
            <w:tcW w:w="270" w:type="dxa"/>
          </w:tcPr>
          <w:p>
            <w:pPr>
              <w:widowControl/>
              <w:adjustRightInd w:val="0"/>
              <w:snapToGrid w:val="0"/>
              <w:spacing w:beforeLines="100" w:afterLines="100" w:line="400" w:lineRule="exact"/>
              <w:jc w:val="center"/>
              <w:rPr>
                <w:b/>
                <w:snapToGrid w:val="0"/>
                <w:sz w:val="28"/>
                <w:szCs w:val="28"/>
              </w:rPr>
            </w:pPr>
            <w:r>
              <w:rPr>
                <w:b/>
                <w:sz w:val="28"/>
                <w:szCs w:val="28"/>
                <w:lang w:val="en-GB"/>
              </w:rPr>
              <w:t>:</w:t>
            </w:r>
          </w:p>
        </w:tc>
        <w:tc>
          <w:tcPr>
            <w:tcW w:w="5138" w:type="dxa"/>
          </w:tcPr>
          <w:p>
            <w:pPr>
              <w:widowControl/>
              <w:adjustRightInd w:val="0"/>
              <w:snapToGrid w:val="0"/>
              <w:spacing w:beforeLines="100" w:afterLines="100" w:line="400" w:lineRule="exact"/>
              <w:rPr>
                <w:rFonts w:hint="eastAsia" w:eastAsia="宋体"/>
                <w:b/>
                <w:snapToGrid w:val="0"/>
                <w:sz w:val="28"/>
                <w:szCs w:val="28"/>
                <w:lang w:val="en-US" w:eastAsia="zh-CN"/>
              </w:rPr>
            </w:pPr>
            <w:r>
              <w:rPr>
                <w:rFonts w:hint="eastAsia" w:eastAsia="宋体"/>
                <w:b/>
                <w:snapToGrid w:val="0"/>
                <w:sz w:val="28"/>
                <w:szCs w:val="28"/>
                <w:lang w:val="en-US" w:eastAsia="zh-CN"/>
              </w:rPr>
              <w:t>广园校区2018年上半年零星维修工程</w:t>
            </w:r>
          </w:p>
        </w:tc>
      </w:tr>
      <w:tr>
        <w:tblPrEx>
          <w:tblLayout w:type="fixed"/>
          <w:tblCellMar>
            <w:top w:w="0" w:type="dxa"/>
            <w:left w:w="108" w:type="dxa"/>
            <w:bottom w:w="0" w:type="dxa"/>
            <w:right w:w="108" w:type="dxa"/>
          </w:tblCellMar>
        </w:tblPrEx>
        <w:tc>
          <w:tcPr>
            <w:tcW w:w="1680" w:type="dxa"/>
            <w:vAlign w:val="center"/>
          </w:tcPr>
          <w:p>
            <w:pPr>
              <w:widowControl/>
              <w:adjustRightInd w:val="0"/>
              <w:snapToGrid w:val="0"/>
              <w:spacing w:beforeLines="100" w:afterLines="100" w:line="400" w:lineRule="exact"/>
              <w:jc w:val="right"/>
              <w:rPr>
                <w:b/>
                <w:snapToGrid w:val="0"/>
                <w:sz w:val="28"/>
                <w:szCs w:val="28"/>
              </w:rPr>
            </w:pPr>
            <w:r>
              <w:rPr>
                <w:rFonts w:hint="eastAsia" w:hAnsi="宋体"/>
                <w:b/>
                <w:snapToGrid w:val="0"/>
                <w:sz w:val="28"/>
                <w:szCs w:val="28"/>
              </w:rPr>
              <w:t>发</w:t>
            </w:r>
            <w:r>
              <w:rPr>
                <w:rFonts w:hint="eastAsia" w:hAnsi="宋体"/>
                <w:b/>
                <w:snapToGrid w:val="0"/>
                <w:sz w:val="28"/>
                <w:szCs w:val="28"/>
                <w:lang w:val="en-US" w:eastAsia="zh-CN"/>
              </w:rPr>
              <w:t xml:space="preserve"> </w:t>
            </w:r>
            <w:r>
              <w:rPr>
                <w:rFonts w:hint="eastAsia" w:hAnsi="宋体"/>
                <w:b/>
                <w:snapToGrid w:val="0"/>
                <w:sz w:val="28"/>
                <w:szCs w:val="28"/>
              </w:rPr>
              <w:t>包</w:t>
            </w:r>
            <w:r>
              <w:rPr>
                <w:rFonts w:hint="eastAsia" w:hAnsi="宋体"/>
                <w:b/>
                <w:snapToGrid w:val="0"/>
                <w:sz w:val="28"/>
                <w:szCs w:val="28"/>
                <w:lang w:val="en-US" w:eastAsia="zh-CN"/>
              </w:rPr>
              <w:t xml:space="preserve"> </w:t>
            </w:r>
            <w:r>
              <w:rPr>
                <w:rFonts w:hint="eastAsia" w:hAnsi="宋体"/>
                <w:b/>
                <w:snapToGrid w:val="0"/>
                <w:sz w:val="28"/>
                <w:szCs w:val="28"/>
              </w:rPr>
              <w:t>方</w:t>
            </w:r>
          </w:p>
        </w:tc>
        <w:tc>
          <w:tcPr>
            <w:tcW w:w="270" w:type="dxa"/>
          </w:tcPr>
          <w:p>
            <w:pPr>
              <w:widowControl/>
              <w:adjustRightInd w:val="0"/>
              <w:snapToGrid w:val="0"/>
              <w:spacing w:beforeLines="100" w:afterLines="100" w:line="400" w:lineRule="exact"/>
              <w:rPr>
                <w:b/>
                <w:snapToGrid w:val="0"/>
                <w:sz w:val="28"/>
                <w:szCs w:val="28"/>
              </w:rPr>
            </w:pPr>
            <w:r>
              <w:rPr>
                <w:rFonts w:hint="eastAsia"/>
                <w:b/>
                <w:snapToGrid w:val="0"/>
                <w:sz w:val="28"/>
                <w:szCs w:val="28"/>
              </w:rPr>
              <w:t>：</w:t>
            </w:r>
          </w:p>
        </w:tc>
        <w:tc>
          <w:tcPr>
            <w:tcW w:w="5138" w:type="dxa"/>
            <w:vAlign w:val="center"/>
          </w:tcPr>
          <w:p>
            <w:pPr>
              <w:widowControl/>
              <w:adjustRightInd w:val="0"/>
              <w:snapToGrid w:val="0"/>
              <w:spacing w:beforeLines="100" w:afterLines="100" w:line="400" w:lineRule="exact"/>
              <w:jc w:val="both"/>
              <w:rPr>
                <w:rFonts w:hint="eastAsia" w:eastAsia="宋体"/>
                <w:b/>
                <w:snapToGrid w:val="0"/>
                <w:sz w:val="28"/>
                <w:szCs w:val="28"/>
                <w:lang w:val="en-US" w:eastAsia="zh-CN"/>
              </w:rPr>
            </w:pPr>
            <w:r>
              <w:rPr>
                <w:rFonts w:hint="eastAsia"/>
                <w:b/>
                <w:snapToGrid w:val="0"/>
                <w:sz w:val="28"/>
                <w:szCs w:val="28"/>
                <w:lang w:eastAsia="zh-CN"/>
              </w:rPr>
              <w:t>广州市交通运输职业学校</w:t>
            </w:r>
            <w:r>
              <w:rPr>
                <w:rFonts w:hint="eastAsia"/>
                <w:b/>
                <w:snapToGrid w:val="0"/>
                <w:sz w:val="28"/>
                <w:szCs w:val="28"/>
                <w:lang w:val="en-US" w:eastAsia="zh-CN"/>
              </w:rPr>
              <w:t>(广园校区）</w:t>
            </w:r>
          </w:p>
        </w:tc>
      </w:tr>
      <w:tr>
        <w:tblPrEx>
          <w:tblLayout w:type="fixed"/>
          <w:tblCellMar>
            <w:top w:w="0" w:type="dxa"/>
            <w:left w:w="108" w:type="dxa"/>
            <w:bottom w:w="0" w:type="dxa"/>
            <w:right w:w="108" w:type="dxa"/>
          </w:tblCellMar>
        </w:tblPrEx>
        <w:tc>
          <w:tcPr>
            <w:tcW w:w="1680" w:type="dxa"/>
            <w:vAlign w:val="center"/>
          </w:tcPr>
          <w:p>
            <w:pPr>
              <w:widowControl/>
              <w:adjustRightInd w:val="0"/>
              <w:snapToGrid w:val="0"/>
              <w:spacing w:beforeLines="100" w:afterLines="100" w:line="400" w:lineRule="exact"/>
              <w:ind w:firstLine="275" w:firstLineChars="98"/>
              <w:jc w:val="right"/>
              <w:rPr>
                <w:rFonts w:hAnsi="宋体"/>
                <w:b/>
                <w:snapToGrid w:val="0"/>
                <w:sz w:val="28"/>
                <w:szCs w:val="28"/>
              </w:rPr>
            </w:pPr>
            <w:r>
              <w:rPr>
                <w:rFonts w:hint="eastAsia" w:hAnsi="宋体"/>
                <w:b/>
                <w:snapToGrid w:val="0"/>
                <w:sz w:val="28"/>
                <w:szCs w:val="28"/>
              </w:rPr>
              <w:t>承</w:t>
            </w:r>
            <w:r>
              <w:rPr>
                <w:rFonts w:hint="eastAsia" w:hAnsi="宋体"/>
                <w:b/>
                <w:snapToGrid w:val="0"/>
                <w:sz w:val="28"/>
                <w:szCs w:val="28"/>
                <w:lang w:val="en-US" w:eastAsia="zh-CN"/>
              </w:rPr>
              <w:t xml:space="preserve"> </w:t>
            </w:r>
            <w:r>
              <w:rPr>
                <w:rFonts w:hint="eastAsia" w:hAnsi="宋体"/>
                <w:b/>
                <w:snapToGrid w:val="0"/>
                <w:sz w:val="28"/>
                <w:szCs w:val="28"/>
              </w:rPr>
              <w:t>包</w:t>
            </w:r>
            <w:r>
              <w:rPr>
                <w:rFonts w:hint="eastAsia" w:hAnsi="宋体"/>
                <w:b/>
                <w:snapToGrid w:val="0"/>
                <w:sz w:val="28"/>
                <w:szCs w:val="28"/>
                <w:lang w:val="en-US" w:eastAsia="zh-CN"/>
              </w:rPr>
              <w:t xml:space="preserve"> </w:t>
            </w:r>
            <w:r>
              <w:rPr>
                <w:rFonts w:hint="eastAsia" w:hAnsi="宋体"/>
                <w:b/>
                <w:snapToGrid w:val="0"/>
                <w:sz w:val="28"/>
                <w:szCs w:val="28"/>
              </w:rPr>
              <w:t>方</w:t>
            </w:r>
          </w:p>
        </w:tc>
        <w:tc>
          <w:tcPr>
            <w:tcW w:w="270" w:type="dxa"/>
          </w:tcPr>
          <w:p>
            <w:pPr>
              <w:widowControl/>
              <w:adjustRightInd w:val="0"/>
              <w:snapToGrid w:val="0"/>
              <w:spacing w:beforeLines="100" w:afterLines="100" w:line="400" w:lineRule="exact"/>
              <w:rPr>
                <w:b/>
                <w:snapToGrid w:val="0"/>
                <w:sz w:val="28"/>
                <w:szCs w:val="28"/>
              </w:rPr>
            </w:pPr>
            <w:r>
              <w:rPr>
                <w:rFonts w:hint="eastAsia"/>
                <w:b/>
                <w:snapToGrid w:val="0"/>
                <w:sz w:val="28"/>
                <w:szCs w:val="28"/>
              </w:rPr>
              <w:t>：</w:t>
            </w:r>
          </w:p>
        </w:tc>
        <w:tc>
          <w:tcPr>
            <w:tcW w:w="5138" w:type="dxa"/>
          </w:tcPr>
          <w:p>
            <w:pPr>
              <w:widowControl/>
              <w:adjustRightInd w:val="0"/>
              <w:snapToGrid w:val="0"/>
              <w:spacing w:beforeLines="100" w:afterLines="100" w:line="400" w:lineRule="exact"/>
              <w:jc w:val="both"/>
              <w:rPr>
                <w:b/>
                <w:snapToGrid w:val="0"/>
                <w:sz w:val="28"/>
                <w:szCs w:val="28"/>
              </w:rPr>
            </w:pPr>
            <w:r>
              <w:rPr>
                <w:b/>
                <w:snapToGrid w:val="0"/>
                <w:sz w:val="28"/>
                <w:szCs w:val="28"/>
              </w:rPr>
              <w:t xml:space="preserve">     </w:t>
            </w:r>
          </w:p>
        </w:tc>
      </w:tr>
    </w:tbl>
    <w:p>
      <w:pPr>
        <w:widowControl/>
        <w:spacing w:line="460" w:lineRule="exact"/>
        <w:rPr>
          <w:sz w:val="28"/>
          <w:szCs w:val="28"/>
          <w:lang w:val="en-GB"/>
        </w:rPr>
      </w:pPr>
    </w:p>
    <w:p>
      <w:pPr>
        <w:widowControl/>
        <w:spacing w:line="460" w:lineRule="exact"/>
        <w:rPr>
          <w:sz w:val="28"/>
          <w:szCs w:val="28"/>
          <w:lang w:val="en-GB"/>
        </w:rPr>
      </w:pPr>
    </w:p>
    <w:p>
      <w:pPr>
        <w:widowControl/>
        <w:spacing w:line="460" w:lineRule="exact"/>
        <w:rPr>
          <w:sz w:val="28"/>
          <w:szCs w:val="28"/>
          <w:lang w:val="en-GB"/>
        </w:rPr>
      </w:pPr>
    </w:p>
    <w:tbl>
      <w:tblPr>
        <w:tblStyle w:val="9"/>
        <w:tblpPr w:leftFromText="180" w:rightFromText="180" w:vertAnchor="text" w:horzAnchor="page" w:tblpX="2448" w:tblpY="1544"/>
        <w:tblOverlap w:val="never"/>
        <w:tblW w:w="7050" w:type="dxa"/>
        <w:tblInd w:w="0" w:type="dxa"/>
        <w:tblLayout w:type="fixed"/>
        <w:tblCellMar>
          <w:top w:w="0" w:type="dxa"/>
          <w:left w:w="108" w:type="dxa"/>
          <w:bottom w:w="0" w:type="dxa"/>
          <w:right w:w="108" w:type="dxa"/>
        </w:tblCellMar>
      </w:tblPr>
      <w:tblGrid>
        <w:gridCol w:w="1680"/>
        <w:gridCol w:w="285"/>
        <w:gridCol w:w="5085"/>
      </w:tblGrid>
      <w:tr>
        <w:tblPrEx>
          <w:tblLayout w:type="fixed"/>
          <w:tblCellMar>
            <w:top w:w="0" w:type="dxa"/>
            <w:left w:w="108" w:type="dxa"/>
            <w:bottom w:w="0" w:type="dxa"/>
            <w:right w:w="108" w:type="dxa"/>
          </w:tblCellMar>
        </w:tblPrEx>
        <w:tc>
          <w:tcPr>
            <w:tcW w:w="1680" w:type="dxa"/>
            <w:vAlign w:val="center"/>
          </w:tcPr>
          <w:p>
            <w:pPr>
              <w:widowControl/>
              <w:adjustRightInd w:val="0"/>
              <w:snapToGrid w:val="0"/>
              <w:spacing w:line="400" w:lineRule="exact"/>
              <w:jc w:val="right"/>
              <w:rPr>
                <w:rFonts w:ascii="宋体"/>
                <w:b/>
                <w:bCs/>
                <w:sz w:val="28"/>
                <w:szCs w:val="28"/>
                <w:lang w:val="en-GB"/>
              </w:rPr>
            </w:pPr>
            <w:r>
              <w:rPr>
                <w:rFonts w:hint="eastAsia" w:ascii="宋体" w:hAnsi="宋体"/>
                <w:b/>
                <w:bCs/>
                <w:snapToGrid w:val="0"/>
                <w:sz w:val="28"/>
                <w:szCs w:val="28"/>
              </w:rPr>
              <w:t>签订日期</w:t>
            </w:r>
          </w:p>
        </w:tc>
        <w:tc>
          <w:tcPr>
            <w:tcW w:w="285" w:type="dxa"/>
          </w:tcPr>
          <w:p>
            <w:pPr>
              <w:widowControl/>
              <w:adjustRightInd w:val="0"/>
              <w:snapToGrid w:val="0"/>
              <w:spacing w:line="400" w:lineRule="exact"/>
              <w:rPr>
                <w:b/>
                <w:bCs/>
                <w:sz w:val="28"/>
                <w:szCs w:val="28"/>
                <w:lang w:val="en-GB"/>
              </w:rPr>
            </w:pPr>
            <w:r>
              <w:rPr>
                <w:b/>
                <w:bCs/>
                <w:sz w:val="28"/>
                <w:szCs w:val="28"/>
                <w:lang w:val="en-GB"/>
              </w:rPr>
              <w:t>:</w:t>
            </w:r>
          </w:p>
        </w:tc>
        <w:tc>
          <w:tcPr>
            <w:tcW w:w="5085" w:type="dxa"/>
          </w:tcPr>
          <w:p>
            <w:pPr>
              <w:widowControl/>
              <w:adjustRightInd w:val="0"/>
              <w:snapToGrid w:val="0"/>
              <w:spacing w:line="400" w:lineRule="exact"/>
              <w:rPr>
                <w:rFonts w:ascii="宋体"/>
                <w:b/>
                <w:bCs/>
                <w:sz w:val="28"/>
                <w:szCs w:val="28"/>
                <w:lang w:val="en-GB"/>
              </w:rPr>
            </w:pPr>
            <w:r>
              <w:rPr>
                <w:rFonts w:ascii="宋体" w:hAnsi="宋体"/>
                <w:b/>
                <w:bCs/>
                <w:snapToGrid w:val="0"/>
                <w:sz w:val="28"/>
                <w:szCs w:val="28"/>
              </w:rPr>
              <w:t xml:space="preserve"> 201</w:t>
            </w:r>
            <w:r>
              <w:rPr>
                <w:rFonts w:hint="eastAsia" w:ascii="宋体" w:hAnsi="宋体"/>
                <w:b/>
                <w:bCs/>
                <w:snapToGrid w:val="0"/>
                <w:sz w:val="28"/>
                <w:szCs w:val="28"/>
                <w:lang w:val="en-US" w:eastAsia="zh-CN"/>
              </w:rPr>
              <w:t>8</w:t>
            </w:r>
            <w:r>
              <w:rPr>
                <w:rFonts w:hint="eastAsia" w:ascii="宋体" w:hAnsi="宋体"/>
                <w:b/>
                <w:bCs/>
                <w:snapToGrid w:val="0"/>
                <w:sz w:val="28"/>
                <w:szCs w:val="28"/>
              </w:rPr>
              <w:t>年</w:t>
            </w:r>
            <w:r>
              <w:rPr>
                <w:rFonts w:ascii="宋体" w:hAnsi="宋体"/>
                <w:b/>
                <w:bCs/>
                <w:snapToGrid w:val="0"/>
                <w:sz w:val="28"/>
                <w:szCs w:val="28"/>
              </w:rPr>
              <w:t xml:space="preserve"> </w:t>
            </w:r>
            <w:r>
              <w:rPr>
                <w:rFonts w:hint="eastAsia" w:ascii="宋体" w:hAnsi="宋体"/>
                <w:b/>
                <w:bCs/>
                <w:snapToGrid w:val="0"/>
                <w:sz w:val="28"/>
                <w:szCs w:val="28"/>
              </w:rPr>
              <w:t>月</w:t>
            </w:r>
            <w:r>
              <w:rPr>
                <w:rFonts w:hint="eastAsia" w:ascii="宋体" w:hAnsi="宋体"/>
                <w:b/>
                <w:bCs/>
                <w:snapToGrid w:val="0"/>
                <w:sz w:val="28"/>
                <w:szCs w:val="28"/>
                <w:lang w:val="en-US" w:eastAsia="zh-CN"/>
              </w:rPr>
              <w:t xml:space="preserve">  </w:t>
            </w:r>
            <w:r>
              <w:rPr>
                <w:rFonts w:hint="eastAsia" w:ascii="宋体" w:hAnsi="宋体"/>
                <w:b/>
                <w:bCs/>
                <w:snapToGrid w:val="0"/>
                <w:sz w:val="28"/>
                <w:szCs w:val="28"/>
              </w:rPr>
              <w:t>日</w:t>
            </w:r>
          </w:p>
        </w:tc>
      </w:tr>
      <w:tr>
        <w:tblPrEx>
          <w:tblLayout w:type="fixed"/>
          <w:tblCellMar>
            <w:top w:w="0" w:type="dxa"/>
            <w:left w:w="108" w:type="dxa"/>
            <w:bottom w:w="0" w:type="dxa"/>
            <w:right w:w="108" w:type="dxa"/>
          </w:tblCellMar>
        </w:tblPrEx>
        <w:tc>
          <w:tcPr>
            <w:tcW w:w="1680" w:type="dxa"/>
            <w:vAlign w:val="center"/>
          </w:tcPr>
          <w:p>
            <w:pPr>
              <w:widowControl/>
              <w:adjustRightInd w:val="0"/>
              <w:snapToGrid w:val="0"/>
              <w:spacing w:line="400" w:lineRule="exact"/>
              <w:jc w:val="right"/>
              <w:rPr>
                <w:rFonts w:ascii="宋体"/>
                <w:b/>
                <w:bCs/>
                <w:sz w:val="28"/>
                <w:szCs w:val="28"/>
                <w:lang w:val="en-GB"/>
              </w:rPr>
            </w:pPr>
            <w:r>
              <w:rPr>
                <w:rFonts w:hint="eastAsia" w:ascii="宋体" w:hAnsi="宋体"/>
                <w:b/>
                <w:bCs/>
                <w:snapToGrid w:val="0"/>
                <w:sz w:val="28"/>
                <w:szCs w:val="28"/>
              </w:rPr>
              <w:t>签订地点</w:t>
            </w:r>
          </w:p>
        </w:tc>
        <w:tc>
          <w:tcPr>
            <w:tcW w:w="285" w:type="dxa"/>
          </w:tcPr>
          <w:p>
            <w:pPr>
              <w:widowControl/>
              <w:adjustRightInd w:val="0"/>
              <w:snapToGrid w:val="0"/>
              <w:spacing w:line="400" w:lineRule="exact"/>
              <w:rPr>
                <w:rFonts w:ascii="宋体"/>
                <w:b/>
                <w:bCs/>
                <w:sz w:val="28"/>
                <w:szCs w:val="28"/>
                <w:lang w:val="en-GB"/>
              </w:rPr>
            </w:pPr>
            <w:r>
              <w:rPr>
                <w:b/>
                <w:bCs/>
                <w:sz w:val="28"/>
                <w:szCs w:val="28"/>
                <w:lang w:val="en-GB"/>
              </w:rPr>
              <w:t>:</w:t>
            </w:r>
          </w:p>
        </w:tc>
        <w:tc>
          <w:tcPr>
            <w:tcW w:w="5085" w:type="dxa"/>
          </w:tcPr>
          <w:p>
            <w:pPr>
              <w:widowControl/>
              <w:adjustRightInd w:val="0"/>
              <w:snapToGrid w:val="0"/>
              <w:spacing w:line="400" w:lineRule="exact"/>
              <w:ind w:right="-951" w:rightChars="-453"/>
              <w:rPr>
                <w:rFonts w:ascii="宋体"/>
                <w:b/>
                <w:bCs/>
                <w:sz w:val="28"/>
                <w:szCs w:val="28"/>
                <w:lang w:val="en-GB"/>
              </w:rPr>
            </w:pPr>
          </w:p>
        </w:tc>
      </w:tr>
    </w:tbl>
    <w:p/>
    <w:tbl>
      <w:tblPr>
        <w:tblStyle w:val="9"/>
        <w:tblW w:w="9020" w:type="dxa"/>
        <w:tblInd w:w="0" w:type="dxa"/>
        <w:tblLayout w:type="fixed"/>
        <w:tblCellMar>
          <w:top w:w="0" w:type="dxa"/>
          <w:left w:w="108" w:type="dxa"/>
          <w:bottom w:w="0" w:type="dxa"/>
          <w:right w:w="108" w:type="dxa"/>
        </w:tblCellMar>
      </w:tblPr>
      <w:tblGrid>
        <w:gridCol w:w="1754"/>
        <w:gridCol w:w="7266"/>
      </w:tblGrid>
      <w:tr>
        <w:tblPrEx>
          <w:tblLayout w:type="fixed"/>
          <w:tblCellMar>
            <w:top w:w="0" w:type="dxa"/>
            <w:left w:w="108" w:type="dxa"/>
            <w:bottom w:w="0" w:type="dxa"/>
            <w:right w:w="108" w:type="dxa"/>
          </w:tblCellMar>
        </w:tblPrEx>
        <w:trPr>
          <w:trHeight w:val="530" w:hRule="atLeast"/>
        </w:trPr>
        <w:tc>
          <w:tcPr>
            <w:tcW w:w="1754" w:type="dxa"/>
          </w:tcPr>
          <w:p>
            <w:pPr>
              <w:adjustRightInd w:val="0"/>
              <w:snapToGrid w:val="0"/>
              <w:spacing w:line="400" w:lineRule="exact"/>
              <w:jc w:val="left"/>
              <w:rPr>
                <w:bCs/>
                <w:sz w:val="24"/>
                <w:szCs w:val="24"/>
              </w:rPr>
            </w:pPr>
            <w:r>
              <w:rPr>
                <w:rFonts w:hint="eastAsia" w:hAnsi="宋体"/>
                <w:bCs/>
                <w:sz w:val="24"/>
                <w:szCs w:val="24"/>
              </w:rPr>
              <w:t>发包方（甲方）</w:t>
            </w:r>
          </w:p>
        </w:tc>
        <w:tc>
          <w:tcPr>
            <w:tcW w:w="7266" w:type="dxa"/>
          </w:tcPr>
          <w:p>
            <w:pPr>
              <w:adjustRightInd w:val="0"/>
              <w:snapToGrid w:val="0"/>
              <w:spacing w:line="400" w:lineRule="exact"/>
              <w:jc w:val="left"/>
              <w:rPr>
                <w:bCs/>
                <w:sz w:val="24"/>
                <w:szCs w:val="24"/>
              </w:rPr>
            </w:pPr>
            <w:r>
              <w:rPr>
                <w:rFonts w:hAnsi="宋体"/>
                <w:bCs/>
                <w:sz w:val="24"/>
                <w:szCs w:val="24"/>
              </w:rPr>
              <w:t xml:space="preserve">: </w:t>
            </w:r>
            <w:r>
              <w:rPr>
                <w:rFonts w:hint="eastAsia" w:hAnsi="宋体"/>
                <w:bCs/>
                <w:sz w:val="24"/>
                <w:szCs w:val="24"/>
                <w:lang w:eastAsia="zh-CN"/>
              </w:rPr>
              <w:t>广州市交通运输职业</w:t>
            </w:r>
            <w:r>
              <w:rPr>
                <w:rFonts w:hint="eastAsia" w:hAnsi="宋体"/>
                <w:bCs/>
                <w:sz w:val="24"/>
                <w:szCs w:val="24"/>
              </w:rPr>
              <w:t>学校</w:t>
            </w:r>
          </w:p>
        </w:tc>
      </w:tr>
      <w:tr>
        <w:tblPrEx>
          <w:tblLayout w:type="fixed"/>
          <w:tblCellMar>
            <w:top w:w="0" w:type="dxa"/>
            <w:left w:w="108" w:type="dxa"/>
            <w:bottom w:w="0" w:type="dxa"/>
            <w:right w:w="108" w:type="dxa"/>
          </w:tblCellMar>
        </w:tblPrEx>
        <w:trPr>
          <w:trHeight w:val="410" w:hRule="atLeast"/>
        </w:trPr>
        <w:tc>
          <w:tcPr>
            <w:tcW w:w="1754" w:type="dxa"/>
          </w:tcPr>
          <w:p>
            <w:pPr>
              <w:adjustRightInd w:val="0"/>
              <w:snapToGrid w:val="0"/>
              <w:spacing w:line="400" w:lineRule="exact"/>
              <w:jc w:val="left"/>
              <w:rPr>
                <w:bCs/>
                <w:sz w:val="24"/>
                <w:szCs w:val="24"/>
              </w:rPr>
            </w:pPr>
            <w:r>
              <w:rPr>
                <w:rFonts w:hint="eastAsia" w:hAnsi="宋体"/>
                <w:bCs/>
                <w:sz w:val="24"/>
                <w:szCs w:val="24"/>
              </w:rPr>
              <w:t>承包方（乙方）</w:t>
            </w:r>
          </w:p>
        </w:tc>
        <w:tc>
          <w:tcPr>
            <w:tcW w:w="7266" w:type="dxa"/>
          </w:tcPr>
          <w:p>
            <w:pPr>
              <w:adjustRightInd w:val="0"/>
              <w:snapToGrid w:val="0"/>
              <w:spacing w:line="400" w:lineRule="exact"/>
              <w:jc w:val="left"/>
              <w:rPr>
                <w:bCs/>
                <w:sz w:val="24"/>
                <w:szCs w:val="24"/>
              </w:rPr>
            </w:pPr>
            <w:r>
              <w:rPr>
                <w:rFonts w:hAnsi="宋体"/>
                <w:bCs/>
                <w:sz w:val="24"/>
                <w:szCs w:val="24"/>
              </w:rPr>
              <w:t>:</w:t>
            </w:r>
            <w:r>
              <w:rPr>
                <w:sz w:val="24"/>
                <w:szCs w:val="24"/>
              </w:rPr>
              <w:t xml:space="preserve"> </w:t>
            </w:r>
          </w:p>
        </w:tc>
      </w:tr>
    </w:tbl>
    <w:p>
      <w:pPr>
        <w:pStyle w:val="3"/>
        <w:adjustRightInd w:val="0"/>
        <w:snapToGrid w:val="0"/>
        <w:spacing w:beforeLines="100" w:afterLines="100" w:line="400" w:lineRule="exact"/>
        <w:ind w:firstLine="424" w:firstLineChars="193"/>
        <w:jc w:val="left"/>
        <w:rPr>
          <w:sz w:val="22"/>
          <w:szCs w:val="22"/>
        </w:rPr>
      </w:pPr>
      <w:r>
        <w:rPr>
          <w:rFonts w:hint="eastAsia" w:hAnsi="宋体"/>
          <w:sz w:val="22"/>
          <w:szCs w:val="22"/>
        </w:rPr>
        <w:t>依照《中华人民共和国合同法》、《中华人民共和国建筑法》及其它有关法律、行政法规，就本项工程建设有关事项，遵循平等、自愿、公平和诚实信用的原则，经双方协商达成如下协议：</w:t>
      </w:r>
    </w:p>
    <w:p>
      <w:pPr>
        <w:numPr>
          <w:ilvl w:val="0"/>
          <w:numId w:val="1"/>
        </w:numPr>
        <w:tabs>
          <w:tab w:val="left" w:pos="851"/>
        </w:tabs>
        <w:adjustRightInd w:val="0"/>
        <w:snapToGrid w:val="0"/>
        <w:spacing w:beforeLines="100" w:afterLines="100" w:line="400" w:lineRule="exact"/>
        <w:jc w:val="left"/>
        <w:rPr>
          <w:bCs/>
          <w:sz w:val="22"/>
          <w:szCs w:val="22"/>
        </w:rPr>
      </w:pPr>
      <w:r>
        <w:rPr>
          <w:rFonts w:hint="eastAsia" w:hAnsi="宋体"/>
          <w:bCs/>
          <w:sz w:val="22"/>
          <w:szCs w:val="22"/>
        </w:rPr>
        <w:t>工程概况</w:t>
      </w:r>
    </w:p>
    <w:p>
      <w:pPr>
        <w:numPr>
          <w:ilvl w:val="0"/>
          <w:numId w:val="2"/>
        </w:numPr>
        <w:tabs>
          <w:tab w:val="left" w:pos="851"/>
        </w:tabs>
        <w:adjustRightInd w:val="0"/>
        <w:snapToGrid w:val="0"/>
        <w:spacing w:line="400" w:lineRule="exact"/>
        <w:jc w:val="left"/>
        <w:rPr>
          <w:sz w:val="22"/>
          <w:szCs w:val="22"/>
          <w:u w:val="single"/>
        </w:rPr>
      </w:pPr>
      <w:r>
        <w:rPr>
          <w:rFonts w:hint="eastAsia" w:hAnsi="宋体"/>
          <w:sz w:val="22"/>
          <w:szCs w:val="22"/>
        </w:rPr>
        <w:t>工程名称：</w:t>
      </w:r>
      <w:r>
        <w:rPr>
          <w:rFonts w:hint="eastAsia" w:hAnsi="宋体"/>
          <w:sz w:val="22"/>
          <w:szCs w:val="22"/>
          <w:u w:val="single"/>
          <w:lang w:val="en-US" w:eastAsia="zh-CN"/>
        </w:rPr>
        <w:t xml:space="preserve">                           </w:t>
      </w:r>
      <w:r>
        <w:rPr>
          <w:rFonts w:hint="eastAsia" w:hAnsi="宋体"/>
          <w:b w:val="0"/>
          <w:bCs/>
          <w:sz w:val="22"/>
          <w:szCs w:val="22"/>
          <w:u w:val="single"/>
          <w:lang w:val="en-US" w:eastAsia="zh-CN"/>
        </w:rPr>
        <w:t xml:space="preserve">  </w:t>
      </w:r>
      <w:r>
        <w:rPr>
          <w:rFonts w:hint="eastAsia" w:hAnsi="宋体"/>
          <w:b w:val="0"/>
          <w:bCs/>
          <w:sz w:val="21"/>
          <w:szCs w:val="21"/>
          <w:u w:val="single"/>
          <w:lang w:val="en-US" w:eastAsia="zh-CN"/>
        </w:rPr>
        <w:t xml:space="preserve"> </w:t>
      </w:r>
    </w:p>
    <w:p>
      <w:pPr>
        <w:numPr>
          <w:ilvl w:val="0"/>
          <w:numId w:val="2"/>
        </w:numPr>
        <w:tabs>
          <w:tab w:val="left" w:pos="851"/>
        </w:tabs>
        <w:adjustRightInd w:val="0"/>
        <w:snapToGrid w:val="0"/>
        <w:spacing w:line="400" w:lineRule="exact"/>
        <w:jc w:val="left"/>
        <w:rPr>
          <w:sz w:val="22"/>
          <w:szCs w:val="22"/>
          <w:u w:val="single"/>
        </w:rPr>
      </w:pPr>
      <w:r>
        <w:rPr>
          <w:rFonts w:hint="eastAsia" w:hAnsi="宋体"/>
          <w:sz w:val="22"/>
          <w:szCs w:val="22"/>
        </w:rPr>
        <w:t>工程地点：</w:t>
      </w:r>
      <w:r>
        <w:rPr>
          <w:rFonts w:hint="eastAsia" w:hAnsi="宋体"/>
          <w:sz w:val="22"/>
          <w:szCs w:val="22"/>
          <w:u w:val="single"/>
        </w:rPr>
        <w:t>广州市白云区嘉禾上胜东街</w:t>
      </w:r>
      <w:r>
        <w:rPr>
          <w:rFonts w:hAnsi="宋体"/>
          <w:sz w:val="22"/>
          <w:szCs w:val="22"/>
          <w:u w:val="single"/>
        </w:rPr>
        <w:t>23</w:t>
      </w:r>
      <w:r>
        <w:rPr>
          <w:rFonts w:hint="eastAsia" w:hAnsi="宋体"/>
          <w:sz w:val="22"/>
          <w:szCs w:val="22"/>
          <w:u w:val="single"/>
        </w:rPr>
        <w:t>号</w:t>
      </w:r>
    </w:p>
    <w:p>
      <w:pPr>
        <w:numPr>
          <w:ilvl w:val="0"/>
          <w:numId w:val="2"/>
        </w:numPr>
        <w:tabs>
          <w:tab w:val="left" w:pos="851"/>
        </w:tabs>
        <w:adjustRightInd w:val="0"/>
        <w:snapToGrid w:val="0"/>
        <w:spacing w:line="400" w:lineRule="exact"/>
        <w:jc w:val="left"/>
        <w:rPr>
          <w:sz w:val="22"/>
          <w:szCs w:val="22"/>
          <w:u w:val="single"/>
        </w:rPr>
      </w:pPr>
      <w:r>
        <w:rPr>
          <w:rFonts w:hint="eastAsia" w:hAnsi="宋体"/>
          <w:sz w:val="22"/>
          <w:szCs w:val="22"/>
        </w:rPr>
        <w:t>承包内容：</w:t>
      </w:r>
      <w:r>
        <w:rPr>
          <w:rFonts w:hint="eastAsia" w:hAnsi="宋体"/>
          <w:sz w:val="22"/>
          <w:szCs w:val="22"/>
          <w:u w:val="single"/>
          <w:lang w:val="en-US" w:eastAsia="zh-CN"/>
        </w:rPr>
        <w:t xml:space="preserve">                             </w:t>
      </w:r>
    </w:p>
    <w:p>
      <w:pPr>
        <w:numPr>
          <w:ilvl w:val="0"/>
          <w:numId w:val="2"/>
        </w:numPr>
        <w:tabs>
          <w:tab w:val="left" w:pos="851"/>
        </w:tabs>
        <w:adjustRightInd w:val="0"/>
        <w:snapToGrid w:val="0"/>
        <w:spacing w:line="400" w:lineRule="exact"/>
        <w:jc w:val="left"/>
        <w:rPr>
          <w:sz w:val="22"/>
          <w:szCs w:val="22"/>
          <w:u w:val="single"/>
        </w:rPr>
      </w:pPr>
      <w:r>
        <w:rPr>
          <w:rFonts w:hint="eastAsia" w:hAnsi="宋体"/>
          <w:sz w:val="22"/>
          <w:szCs w:val="22"/>
        </w:rPr>
        <w:t>工程规模：</w:t>
      </w:r>
      <w:r>
        <w:rPr>
          <w:rFonts w:hint="eastAsia" w:hAnsi="宋体"/>
          <w:sz w:val="22"/>
          <w:szCs w:val="22"/>
          <w:lang w:val="en-US" w:eastAsia="zh-CN"/>
        </w:rPr>
        <w:t xml:space="preserve"> </w:t>
      </w:r>
      <w:r>
        <w:rPr>
          <w:rFonts w:hint="eastAsia" w:hAnsi="宋体"/>
          <w:sz w:val="22"/>
          <w:szCs w:val="22"/>
          <w:u w:val="single"/>
          <w:lang w:val="en-US" w:eastAsia="zh-CN"/>
        </w:rPr>
        <w:t xml:space="preserve">                         </w:t>
      </w:r>
    </w:p>
    <w:p>
      <w:pPr>
        <w:numPr>
          <w:ilvl w:val="0"/>
          <w:numId w:val="2"/>
        </w:numPr>
        <w:tabs>
          <w:tab w:val="left" w:pos="851"/>
        </w:tabs>
        <w:adjustRightInd w:val="0"/>
        <w:snapToGrid w:val="0"/>
        <w:spacing w:line="400" w:lineRule="exact"/>
        <w:jc w:val="left"/>
        <w:rPr>
          <w:sz w:val="22"/>
          <w:szCs w:val="22"/>
        </w:rPr>
      </w:pPr>
      <w:r>
        <w:rPr>
          <w:rFonts w:hint="eastAsia" w:hAnsi="宋体"/>
          <w:sz w:val="22"/>
          <w:szCs w:val="22"/>
        </w:rPr>
        <w:t>工程立项、规划批准文号：</w:t>
      </w:r>
      <w:r>
        <w:rPr>
          <w:sz w:val="22"/>
          <w:szCs w:val="22"/>
        </w:rPr>
        <w:t xml:space="preserve"> ______________</w:t>
      </w:r>
    </w:p>
    <w:p>
      <w:pPr>
        <w:numPr>
          <w:ilvl w:val="0"/>
          <w:numId w:val="2"/>
        </w:numPr>
        <w:tabs>
          <w:tab w:val="left" w:pos="851"/>
        </w:tabs>
        <w:adjustRightInd w:val="0"/>
        <w:snapToGrid w:val="0"/>
        <w:spacing w:line="400" w:lineRule="exact"/>
        <w:jc w:val="left"/>
        <w:rPr>
          <w:sz w:val="22"/>
          <w:szCs w:val="22"/>
        </w:rPr>
      </w:pPr>
      <w:r>
        <w:rPr>
          <w:rFonts w:hint="eastAsia" w:hAnsi="宋体"/>
          <w:sz w:val="22"/>
          <w:szCs w:val="22"/>
        </w:rPr>
        <w:t>工程性质：（指基建、技改、合资等）：</w:t>
      </w:r>
      <w:r>
        <w:rPr>
          <w:rFonts w:hint="eastAsia" w:hAnsi="宋体"/>
          <w:sz w:val="22"/>
          <w:szCs w:val="22"/>
          <w:u w:val="single"/>
          <w:lang w:eastAsia="zh-CN"/>
        </w:rPr>
        <w:t>修缮工程</w:t>
      </w:r>
    </w:p>
    <w:p>
      <w:pPr>
        <w:numPr>
          <w:ilvl w:val="0"/>
          <w:numId w:val="2"/>
        </w:numPr>
        <w:tabs>
          <w:tab w:val="left" w:pos="851"/>
        </w:tabs>
        <w:adjustRightInd w:val="0"/>
        <w:snapToGrid w:val="0"/>
        <w:spacing w:line="400" w:lineRule="exact"/>
        <w:jc w:val="left"/>
        <w:rPr>
          <w:sz w:val="22"/>
          <w:szCs w:val="22"/>
        </w:rPr>
      </w:pPr>
      <w:r>
        <w:rPr>
          <w:rFonts w:hint="eastAsia" w:hAnsi="宋体"/>
          <w:sz w:val="22"/>
          <w:szCs w:val="22"/>
        </w:rPr>
        <w:t>承包方式：</w:t>
      </w:r>
      <w:r>
        <w:rPr>
          <w:rFonts w:hint="eastAsia" w:hAnsi="宋体"/>
          <w:sz w:val="22"/>
          <w:szCs w:val="22"/>
          <w:u w:val="single"/>
        </w:rPr>
        <w:t>包工、包料、包完税、包安全文明施工措施费；</w:t>
      </w:r>
    </w:p>
    <w:p>
      <w:pPr>
        <w:numPr>
          <w:ilvl w:val="0"/>
          <w:numId w:val="0"/>
        </w:numPr>
        <w:adjustRightInd w:val="0"/>
        <w:snapToGrid w:val="0"/>
        <w:spacing w:beforeLines="100" w:line="240" w:lineRule="auto"/>
        <w:ind w:firstLine="840" w:firstLineChars="300"/>
        <w:jc w:val="left"/>
        <w:rPr>
          <w:sz w:val="22"/>
          <w:szCs w:val="22"/>
        </w:rPr>
      </w:pPr>
      <w:r>
        <w:rPr>
          <w:sz w:val="28"/>
          <w:szCs w:val="28"/>
        </w:rPr>
        <w:sym w:font="Wingdings" w:char="F0FE"/>
      </w:r>
      <w:r>
        <w:rPr>
          <w:rFonts w:hint="eastAsia"/>
          <w:sz w:val="28"/>
          <w:szCs w:val="28"/>
          <w:lang w:val="en-US" w:eastAsia="zh-CN"/>
        </w:rPr>
        <w:t xml:space="preserve"> </w:t>
      </w:r>
      <w:r>
        <w:rPr>
          <w:rFonts w:hint="eastAsia"/>
          <w:sz w:val="24"/>
          <w:szCs w:val="24"/>
          <w:lang w:val="en-US" w:eastAsia="zh-CN"/>
        </w:rPr>
        <w:t xml:space="preserve"> </w:t>
      </w:r>
      <w:r>
        <w:rPr>
          <w:rFonts w:hint="eastAsia" w:hAnsi="宋体"/>
          <w:sz w:val="22"/>
          <w:szCs w:val="22"/>
          <w:lang w:eastAsia="zh-CN"/>
        </w:rPr>
        <w:t>综合单价包干；</w:t>
      </w:r>
    </w:p>
    <w:p>
      <w:pPr>
        <w:numPr>
          <w:ilvl w:val="0"/>
          <w:numId w:val="0"/>
        </w:numPr>
        <w:adjustRightInd w:val="0"/>
        <w:snapToGrid w:val="0"/>
        <w:spacing w:beforeLines="100" w:line="360" w:lineRule="auto"/>
        <w:ind w:leftChars="386"/>
        <w:jc w:val="left"/>
        <w:rPr>
          <w:sz w:val="22"/>
          <w:szCs w:val="22"/>
        </w:rPr>
      </w:pPr>
      <w:r>
        <w:rPr>
          <w:rFonts w:hint="eastAsia" w:hAnsi="宋体"/>
          <w:b/>
          <w:bCs/>
          <w:sz w:val="28"/>
          <w:szCs w:val="28"/>
        </w:rPr>
        <w:sym w:font="Wingdings 2" w:char="0051"/>
      </w:r>
      <w:r>
        <w:rPr>
          <w:rFonts w:hint="eastAsia" w:hAnsi="宋体"/>
          <w:b/>
          <w:bCs/>
          <w:sz w:val="28"/>
          <w:szCs w:val="28"/>
          <w:lang w:val="en-US" w:eastAsia="zh-CN"/>
        </w:rPr>
        <w:t xml:space="preserve"> </w:t>
      </w:r>
      <w:r>
        <w:rPr>
          <w:rFonts w:hint="eastAsia" w:hAnsi="宋体"/>
          <w:sz w:val="22"/>
          <w:szCs w:val="22"/>
        </w:rPr>
        <w:t>按施工图预算加签证、加政策性调整结算；</w:t>
      </w:r>
    </w:p>
    <w:p>
      <w:pPr>
        <w:numPr>
          <w:ilvl w:val="0"/>
          <w:numId w:val="0"/>
        </w:numPr>
        <w:adjustRightInd w:val="0"/>
        <w:snapToGrid w:val="0"/>
        <w:spacing w:line="360" w:lineRule="auto"/>
        <w:ind w:leftChars="386"/>
        <w:jc w:val="left"/>
        <w:rPr>
          <w:sz w:val="22"/>
          <w:szCs w:val="22"/>
        </w:rPr>
      </w:pPr>
      <w:r>
        <w:rPr>
          <w:rFonts w:hint="eastAsia" w:hAnsi="宋体"/>
          <w:b/>
          <w:bCs/>
          <w:sz w:val="28"/>
          <w:szCs w:val="28"/>
        </w:rPr>
        <w:sym w:font="Wingdings 2" w:char="0051"/>
      </w:r>
      <w:r>
        <w:rPr>
          <w:rFonts w:hint="eastAsia" w:hAnsi="宋体"/>
          <w:b/>
          <w:bCs/>
          <w:sz w:val="28"/>
          <w:szCs w:val="28"/>
          <w:lang w:val="en-US" w:eastAsia="zh-CN"/>
        </w:rPr>
        <w:t xml:space="preserve"> </w:t>
      </w:r>
      <w:r>
        <w:rPr>
          <w:rFonts w:hint="eastAsia" w:hAnsi="宋体"/>
          <w:sz w:val="22"/>
          <w:szCs w:val="22"/>
        </w:rPr>
        <w:t>包工</w:t>
      </w:r>
      <w:r>
        <w:rPr>
          <w:rFonts w:hint="eastAsia"/>
          <w:sz w:val="22"/>
          <w:szCs w:val="22"/>
        </w:rPr>
        <w:t>包料</w:t>
      </w:r>
    </w:p>
    <w:p>
      <w:pPr>
        <w:numPr>
          <w:ilvl w:val="0"/>
          <w:numId w:val="0"/>
        </w:numPr>
        <w:adjustRightInd w:val="0"/>
        <w:snapToGrid w:val="0"/>
        <w:spacing w:afterLines="100" w:line="360" w:lineRule="auto"/>
        <w:ind w:leftChars="386"/>
        <w:jc w:val="left"/>
        <w:rPr>
          <w:sz w:val="22"/>
          <w:szCs w:val="22"/>
        </w:rPr>
      </w:pPr>
      <w:r>
        <w:rPr>
          <w:rFonts w:hint="eastAsia" w:hAnsi="宋体"/>
          <w:b/>
          <w:bCs/>
          <w:sz w:val="28"/>
          <w:szCs w:val="28"/>
        </w:rPr>
        <w:sym w:font="Wingdings 2" w:char="0051"/>
      </w:r>
      <w:r>
        <w:rPr>
          <w:rFonts w:hint="eastAsia" w:hAnsi="宋体"/>
          <w:b/>
          <w:bCs/>
          <w:sz w:val="28"/>
          <w:szCs w:val="28"/>
          <w:lang w:val="en-US" w:eastAsia="zh-CN"/>
        </w:rPr>
        <w:t xml:space="preserve"> </w:t>
      </w:r>
      <w:r>
        <w:rPr>
          <w:rFonts w:hint="eastAsia"/>
          <w:sz w:val="22"/>
          <w:szCs w:val="22"/>
        </w:rPr>
        <w:t>其它</w:t>
      </w:r>
      <w:r>
        <w:rPr>
          <w:sz w:val="22"/>
          <w:szCs w:val="22"/>
        </w:rPr>
        <w:t xml:space="preserve"> _______________________________</w:t>
      </w:r>
    </w:p>
    <w:p>
      <w:pPr>
        <w:numPr>
          <w:ilvl w:val="0"/>
          <w:numId w:val="2"/>
        </w:numPr>
        <w:tabs>
          <w:tab w:val="left" w:pos="851"/>
        </w:tabs>
        <w:adjustRightInd w:val="0"/>
        <w:snapToGrid w:val="0"/>
        <w:spacing w:line="400" w:lineRule="exact"/>
        <w:jc w:val="left"/>
        <w:rPr>
          <w:sz w:val="22"/>
          <w:szCs w:val="22"/>
          <w:u w:val="single"/>
        </w:rPr>
      </w:pPr>
      <w:r>
        <w:rPr>
          <w:rFonts w:hint="eastAsia" w:hAnsi="宋体"/>
          <w:sz w:val="22"/>
          <w:szCs w:val="22"/>
        </w:rPr>
        <w:t>质量标准：</w:t>
      </w:r>
      <w:r>
        <w:rPr>
          <w:rFonts w:hint="eastAsia"/>
          <w:sz w:val="22"/>
          <w:szCs w:val="22"/>
          <w:u w:val="single"/>
        </w:rPr>
        <w:t>按国家相关标准验收合格</w:t>
      </w:r>
    </w:p>
    <w:p>
      <w:pPr>
        <w:numPr>
          <w:ilvl w:val="0"/>
          <w:numId w:val="1"/>
        </w:numPr>
        <w:tabs>
          <w:tab w:val="left" w:pos="851"/>
        </w:tabs>
        <w:adjustRightInd w:val="0"/>
        <w:snapToGrid w:val="0"/>
        <w:spacing w:beforeLines="100" w:afterLines="100" w:line="400" w:lineRule="exact"/>
        <w:ind w:left="0" w:firstLine="0"/>
        <w:jc w:val="left"/>
        <w:rPr>
          <w:sz w:val="22"/>
          <w:szCs w:val="22"/>
        </w:rPr>
      </w:pPr>
      <w:r>
        <w:rPr>
          <w:rFonts w:hint="eastAsia" w:hAnsi="宋体"/>
          <w:bCs/>
          <w:sz w:val="22"/>
          <w:szCs w:val="22"/>
        </w:rPr>
        <w:t>工期</w:t>
      </w:r>
    </w:p>
    <w:p>
      <w:pPr>
        <w:tabs>
          <w:tab w:val="left" w:pos="851"/>
        </w:tabs>
        <w:adjustRightInd w:val="0"/>
        <w:snapToGrid w:val="0"/>
        <w:spacing w:beforeLines="100" w:afterLines="100" w:line="240" w:lineRule="auto"/>
        <w:ind w:left="851"/>
        <w:jc w:val="left"/>
        <w:rPr>
          <w:color w:val="FF0000"/>
          <w:sz w:val="22"/>
          <w:szCs w:val="22"/>
        </w:rPr>
      </w:pPr>
      <w:r>
        <w:rPr>
          <w:rFonts w:hint="eastAsia" w:hAnsi="宋体"/>
          <w:sz w:val="22"/>
          <w:szCs w:val="22"/>
        </w:rPr>
        <w:t>计划开工日期：</w:t>
      </w:r>
      <w:r>
        <w:rPr>
          <w:rFonts w:hAnsi="宋体"/>
          <w:sz w:val="22"/>
          <w:szCs w:val="22"/>
        </w:rPr>
        <w:t xml:space="preserve"> </w:t>
      </w:r>
      <w:r>
        <w:rPr>
          <w:color w:val="FF0000"/>
          <w:sz w:val="22"/>
          <w:szCs w:val="22"/>
          <w:u w:val="single"/>
        </w:rPr>
        <w:t>201</w:t>
      </w:r>
      <w:r>
        <w:rPr>
          <w:rFonts w:hint="eastAsia"/>
          <w:color w:val="FF0000"/>
          <w:sz w:val="22"/>
          <w:szCs w:val="22"/>
          <w:u w:val="single"/>
          <w:lang w:val="en-US" w:eastAsia="zh-CN"/>
        </w:rPr>
        <w:t>8</w:t>
      </w:r>
      <w:r>
        <w:rPr>
          <w:rFonts w:hint="eastAsia" w:hAnsi="宋体"/>
          <w:color w:val="FF0000"/>
          <w:sz w:val="22"/>
          <w:szCs w:val="22"/>
        </w:rPr>
        <w:t>年</w:t>
      </w:r>
      <w:r>
        <w:rPr>
          <w:rFonts w:hint="eastAsia" w:hAnsi="宋体"/>
          <w:color w:val="FF0000"/>
          <w:sz w:val="22"/>
          <w:szCs w:val="22"/>
          <w:lang w:val="en-US" w:eastAsia="zh-CN"/>
        </w:rPr>
        <w:t xml:space="preserve">   </w:t>
      </w:r>
      <w:r>
        <w:rPr>
          <w:rFonts w:hint="eastAsia" w:hAnsi="宋体"/>
          <w:color w:val="FF0000"/>
          <w:sz w:val="22"/>
          <w:szCs w:val="22"/>
        </w:rPr>
        <w:t>月</w:t>
      </w:r>
      <w:r>
        <w:rPr>
          <w:rFonts w:hint="eastAsia" w:hAnsi="宋体"/>
          <w:color w:val="FF0000"/>
          <w:sz w:val="22"/>
          <w:szCs w:val="22"/>
          <w:u w:val="single"/>
          <w:lang w:val="en-US" w:eastAsia="zh-CN"/>
        </w:rPr>
        <w:t xml:space="preserve">   </w:t>
      </w:r>
      <w:r>
        <w:rPr>
          <w:rFonts w:hint="eastAsia" w:hAnsi="宋体"/>
          <w:color w:val="FF0000"/>
          <w:sz w:val="22"/>
          <w:szCs w:val="22"/>
        </w:rPr>
        <w:t>日；</w:t>
      </w:r>
    </w:p>
    <w:p>
      <w:pPr>
        <w:adjustRightInd w:val="0"/>
        <w:snapToGrid w:val="0"/>
        <w:spacing w:beforeLines="100" w:afterLines="100" w:line="240" w:lineRule="auto"/>
        <w:ind w:left="851"/>
        <w:jc w:val="left"/>
        <w:rPr>
          <w:rFonts w:hAnsi="宋体"/>
          <w:color w:val="FF0000"/>
          <w:sz w:val="22"/>
          <w:szCs w:val="22"/>
        </w:rPr>
      </w:pPr>
      <w:r>
        <w:rPr>
          <w:rFonts w:hint="eastAsia" w:hAnsi="宋体"/>
          <w:color w:val="FF0000"/>
          <w:sz w:val="22"/>
          <w:szCs w:val="22"/>
        </w:rPr>
        <w:t>计划竣工日期：</w:t>
      </w:r>
      <w:r>
        <w:rPr>
          <w:rFonts w:hint="eastAsia" w:hAnsi="宋体"/>
          <w:color w:val="FF0000"/>
          <w:sz w:val="22"/>
          <w:szCs w:val="22"/>
          <w:lang w:val="en-US" w:eastAsia="zh-CN"/>
        </w:rPr>
        <w:t xml:space="preserve"> </w:t>
      </w:r>
      <w:r>
        <w:rPr>
          <w:color w:val="FF0000"/>
          <w:sz w:val="22"/>
          <w:szCs w:val="22"/>
          <w:u w:val="single"/>
        </w:rPr>
        <w:t>201</w:t>
      </w:r>
      <w:r>
        <w:rPr>
          <w:rFonts w:hint="eastAsia"/>
          <w:color w:val="FF0000"/>
          <w:sz w:val="22"/>
          <w:szCs w:val="22"/>
          <w:u w:val="single"/>
          <w:lang w:val="en-US" w:eastAsia="zh-CN"/>
        </w:rPr>
        <w:t>8</w:t>
      </w:r>
      <w:r>
        <w:rPr>
          <w:rFonts w:hint="eastAsia" w:hAnsi="宋体"/>
          <w:color w:val="FF0000"/>
          <w:sz w:val="22"/>
          <w:szCs w:val="22"/>
        </w:rPr>
        <w:t>年</w:t>
      </w:r>
      <w:r>
        <w:rPr>
          <w:rFonts w:hint="eastAsia" w:hAnsi="宋体"/>
          <w:color w:val="FF0000"/>
          <w:sz w:val="22"/>
          <w:szCs w:val="22"/>
          <w:lang w:val="en-US" w:eastAsia="zh-CN"/>
        </w:rPr>
        <w:t xml:space="preserve">  </w:t>
      </w:r>
      <w:r>
        <w:rPr>
          <w:rFonts w:hint="eastAsia" w:hAnsi="宋体"/>
          <w:color w:val="FF0000"/>
          <w:sz w:val="22"/>
          <w:szCs w:val="22"/>
        </w:rPr>
        <w:t>月</w:t>
      </w:r>
      <w:r>
        <w:rPr>
          <w:rFonts w:hint="eastAsia" w:hAnsi="宋体"/>
          <w:color w:val="FF0000"/>
          <w:sz w:val="22"/>
          <w:szCs w:val="22"/>
          <w:lang w:val="en-US" w:eastAsia="zh-CN"/>
        </w:rPr>
        <w:t xml:space="preserve">  </w:t>
      </w:r>
      <w:r>
        <w:rPr>
          <w:rFonts w:hint="eastAsia" w:hAnsi="宋体"/>
          <w:color w:val="FF0000"/>
          <w:sz w:val="22"/>
          <w:szCs w:val="22"/>
        </w:rPr>
        <w:t>日</w:t>
      </w:r>
      <w:r>
        <w:rPr>
          <w:rFonts w:hint="eastAsia" w:hAnsi="宋体"/>
          <w:color w:val="FF0000"/>
          <w:sz w:val="22"/>
          <w:szCs w:val="22"/>
          <w:lang w:eastAsia="zh-CN"/>
        </w:rPr>
        <w:t>；</w:t>
      </w:r>
    </w:p>
    <w:p>
      <w:pPr>
        <w:adjustRightInd w:val="0"/>
        <w:snapToGrid w:val="0"/>
        <w:spacing w:beforeLines="100" w:afterLines="100" w:line="240" w:lineRule="auto"/>
        <w:ind w:left="851"/>
        <w:jc w:val="left"/>
        <w:rPr>
          <w:sz w:val="22"/>
          <w:szCs w:val="22"/>
        </w:rPr>
      </w:pPr>
      <w:r>
        <w:rPr>
          <w:rFonts w:hint="eastAsia" w:hAnsi="宋体"/>
          <w:sz w:val="22"/>
          <w:szCs w:val="22"/>
        </w:rPr>
        <w:t>具体开工日期以甲方的开工令为准。</w:t>
      </w:r>
    </w:p>
    <w:p>
      <w:pPr>
        <w:adjustRightInd w:val="0"/>
        <w:snapToGrid w:val="0"/>
        <w:spacing w:beforeLines="100" w:afterLines="100" w:line="400" w:lineRule="exact"/>
        <w:ind w:left="851"/>
        <w:jc w:val="left"/>
        <w:rPr>
          <w:rFonts w:hAnsi="宋体"/>
          <w:sz w:val="22"/>
          <w:szCs w:val="22"/>
        </w:rPr>
      </w:pPr>
      <w:r>
        <w:rPr>
          <w:rFonts w:hint="eastAsia" w:hAnsi="宋体"/>
          <w:sz w:val="22"/>
          <w:szCs w:val="22"/>
        </w:rPr>
        <w:t>合同工期日历天数为</w:t>
      </w:r>
      <w:r>
        <w:rPr>
          <w:rFonts w:hint="eastAsia" w:hAnsi="宋体"/>
          <w:sz w:val="22"/>
          <w:szCs w:val="22"/>
          <w:u w:val="single"/>
          <w:lang w:val="en-US" w:eastAsia="zh-CN"/>
        </w:rPr>
        <w:t>3</w:t>
      </w:r>
      <w:r>
        <w:rPr>
          <w:rFonts w:hint="eastAsia"/>
          <w:color w:val="000000"/>
          <w:sz w:val="22"/>
          <w:szCs w:val="22"/>
          <w:u w:val="single"/>
          <w:lang w:val="en-US" w:eastAsia="zh-CN"/>
        </w:rPr>
        <w:t>0</w:t>
      </w:r>
      <w:r>
        <w:rPr>
          <w:rFonts w:hint="eastAsia" w:hAnsi="宋体"/>
          <w:sz w:val="22"/>
          <w:szCs w:val="22"/>
        </w:rPr>
        <w:t>天。工期总日历天数与前述计划开竣工日期计算的工期天数不一致的，以工期总日历天数为准。</w:t>
      </w:r>
    </w:p>
    <w:p>
      <w:pPr>
        <w:adjustRightInd w:val="0"/>
        <w:snapToGrid w:val="0"/>
        <w:spacing w:beforeLines="100" w:afterLines="100" w:line="400" w:lineRule="exact"/>
        <w:ind w:left="851"/>
        <w:jc w:val="left"/>
        <w:rPr>
          <w:sz w:val="22"/>
          <w:szCs w:val="22"/>
        </w:rPr>
      </w:pPr>
    </w:p>
    <w:p>
      <w:pPr>
        <w:numPr>
          <w:ilvl w:val="0"/>
          <w:numId w:val="1"/>
        </w:numPr>
        <w:tabs>
          <w:tab w:val="left" w:pos="851"/>
        </w:tabs>
        <w:adjustRightInd w:val="0"/>
        <w:snapToGrid w:val="0"/>
        <w:spacing w:beforeLines="100" w:afterLines="100" w:line="400" w:lineRule="exact"/>
        <w:ind w:left="0" w:firstLine="0"/>
        <w:jc w:val="left"/>
        <w:rPr>
          <w:sz w:val="22"/>
          <w:szCs w:val="22"/>
        </w:rPr>
      </w:pPr>
      <w:r>
        <w:rPr>
          <w:rFonts w:hint="eastAsia" w:hAnsi="宋体"/>
          <w:sz w:val="22"/>
          <w:szCs w:val="22"/>
        </w:rPr>
        <w:t>工期延误与工期奖罚</w:t>
      </w:r>
    </w:p>
    <w:p>
      <w:pPr>
        <w:numPr>
          <w:ilvl w:val="0"/>
          <w:numId w:val="3"/>
        </w:numPr>
        <w:tabs>
          <w:tab w:val="left" w:pos="851"/>
        </w:tabs>
        <w:adjustRightInd w:val="0"/>
        <w:snapToGrid w:val="0"/>
        <w:spacing w:beforeLines="100" w:afterLines="100" w:line="400" w:lineRule="exact"/>
        <w:ind w:left="851" w:hanging="851"/>
        <w:jc w:val="left"/>
        <w:rPr>
          <w:sz w:val="22"/>
          <w:szCs w:val="22"/>
        </w:rPr>
      </w:pPr>
      <w:r>
        <w:rPr>
          <w:rFonts w:hint="eastAsia" w:hAnsi="宋体"/>
          <w:sz w:val="22"/>
          <w:szCs w:val="22"/>
        </w:rPr>
        <w:t>延期开工。承包方因故不能按时开工，应在约定的开工日期提前</w:t>
      </w:r>
      <w:r>
        <w:rPr>
          <w:sz w:val="22"/>
          <w:szCs w:val="22"/>
        </w:rPr>
        <w:t>5</w:t>
      </w:r>
      <w:r>
        <w:rPr>
          <w:rFonts w:hint="eastAsia" w:hAnsi="宋体"/>
          <w:sz w:val="22"/>
          <w:szCs w:val="22"/>
        </w:rPr>
        <w:t>天，向发包方书面提出延期开工的理由和要求。发包方代表应在</w:t>
      </w:r>
      <w:r>
        <w:rPr>
          <w:sz w:val="22"/>
          <w:szCs w:val="22"/>
        </w:rPr>
        <w:t>3</w:t>
      </w:r>
      <w:r>
        <w:rPr>
          <w:rFonts w:hint="eastAsia" w:hAnsi="宋体"/>
          <w:sz w:val="22"/>
          <w:szCs w:val="22"/>
        </w:rPr>
        <w:t>天内书面答复承包方。发包方同意延期要求或</w:t>
      </w:r>
      <w:r>
        <w:rPr>
          <w:sz w:val="22"/>
          <w:szCs w:val="22"/>
        </w:rPr>
        <w:t>3</w:t>
      </w:r>
      <w:r>
        <w:rPr>
          <w:rFonts w:hint="eastAsia" w:hAnsi="宋体"/>
          <w:sz w:val="22"/>
          <w:szCs w:val="22"/>
        </w:rPr>
        <w:t>天内不予答复，工期相应顺延。如承包方理由不充分，发包方不同意延期或承包方未在规定时间内提出延期开工要求，工期不予顺延。</w:t>
      </w:r>
    </w:p>
    <w:p>
      <w:pPr>
        <w:numPr>
          <w:ilvl w:val="0"/>
          <w:numId w:val="3"/>
        </w:numPr>
        <w:tabs>
          <w:tab w:val="left" w:pos="851"/>
        </w:tabs>
        <w:adjustRightInd w:val="0"/>
        <w:snapToGrid w:val="0"/>
        <w:spacing w:beforeLines="100" w:afterLines="100" w:line="400" w:lineRule="exact"/>
        <w:ind w:left="851" w:hanging="851"/>
        <w:jc w:val="left"/>
        <w:rPr>
          <w:sz w:val="22"/>
          <w:szCs w:val="22"/>
        </w:rPr>
      </w:pPr>
      <w:r>
        <w:rPr>
          <w:rFonts w:hint="eastAsia" w:hAnsi="宋体"/>
          <w:sz w:val="22"/>
          <w:szCs w:val="22"/>
        </w:rPr>
        <w:t>暂停施工。发包方代表认为必要时，可提出暂停施工要求并在停工后</w:t>
      </w:r>
      <w:r>
        <w:rPr>
          <w:sz w:val="22"/>
          <w:szCs w:val="22"/>
        </w:rPr>
        <w:t>48</w:t>
      </w:r>
      <w:r>
        <w:rPr>
          <w:rFonts w:hint="eastAsia" w:hAnsi="宋体"/>
          <w:sz w:val="22"/>
          <w:szCs w:val="22"/>
        </w:rPr>
        <w:t>小时内提出处理意见。承包方在实施发包方代表处理意见后，应及时提出复工要求，发包方代表在</w:t>
      </w:r>
      <w:r>
        <w:rPr>
          <w:sz w:val="22"/>
          <w:szCs w:val="22"/>
        </w:rPr>
        <w:t>24</w:t>
      </w:r>
      <w:r>
        <w:rPr>
          <w:rFonts w:hint="eastAsia" w:hAnsi="宋体"/>
          <w:sz w:val="22"/>
          <w:szCs w:val="22"/>
        </w:rPr>
        <w:t>小时内予以答复。发包方未能在规定时间提出处理意见，或收到承包方复工要求时限内未予答复，承包方可自行复工。停工责任在发包方的，由发包方承担经济支出，工期相应顺延。停工责任在承包方的，由承包方承担发生的费用和造成的延期损失。</w:t>
      </w:r>
    </w:p>
    <w:p>
      <w:pPr>
        <w:numPr>
          <w:ilvl w:val="0"/>
          <w:numId w:val="3"/>
        </w:numPr>
        <w:tabs>
          <w:tab w:val="left" w:pos="851"/>
        </w:tabs>
        <w:adjustRightInd w:val="0"/>
        <w:snapToGrid w:val="0"/>
        <w:spacing w:beforeLines="100" w:afterLines="100" w:line="400" w:lineRule="exact"/>
        <w:ind w:left="851" w:hanging="851"/>
        <w:jc w:val="left"/>
        <w:rPr>
          <w:sz w:val="22"/>
          <w:szCs w:val="22"/>
        </w:rPr>
      </w:pPr>
      <w:r>
        <w:rPr>
          <w:rFonts w:hint="eastAsia" w:hAnsi="宋体"/>
          <w:sz w:val="22"/>
          <w:szCs w:val="22"/>
        </w:rPr>
        <w:t>工期延误。下列情况造成竣工日期推迟的，经发包方代表书面确认，工期相应顺延。</w:t>
      </w:r>
    </w:p>
    <w:p>
      <w:pPr>
        <w:numPr>
          <w:ilvl w:val="0"/>
          <w:numId w:val="4"/>
        </w:numPr>
        <w:tabs>
          <w:tab w:val="left" w:pos="851"/>
        </w:tabs>
        <w:adjustRightInd w:val="0"/>
        <w:snapToGrid w:val="0"/>
        <w:spacing w:line="400" w:lineRule="exact"/>
        <w:ind w:left="0" w:firstLine="0"/>
        <w:jc w:val="left"/>
        <w:rPr>
          <w:sz w:val="22"/>
          <w:szCs w:val="22"/>
        </w:rPr>
      </w:pPr>
      <w:r>
        <w:rPr>
          <w:rFonts w:hint="eastAsia" w:hAnsi="宋体"/>
          <w:sz w:val="22"/>
          <w:szCs w:val="22"/>
        </w:rPr>
        <w:t>工程量变化和设计变更。</w:t>
      </w:r>
    </w:p>
    <w:p>
      <w:pPr>
        <w:numPr>
          <w:ilvl w:val="0"/>
          <w:numId w:val="4"/>
        </w:numPr>
        <w:tabs>
          <w:tab w:val="left" w:pos="851"/>
        </w:tabs>
        <w:adjustRightInd w:val="0"/>
        <w:snapToGrid w:val="0"/>
        <w:spacing w:line="400" w:lineRule="exact"/>
        <w:ind w:left="0" w:firstLine="0"/>
        <w:jc w:val="left"/>
        <w:rPr>
          <w:sz w:val="22"/>
          <w:szCs w:val="22"/>
        </w:rPr>
      </w:pPr>
      <w:r>
        <w:rPr>
          <w:rFonts w:hint="eastAsia" w:hAnsi="宋体"/>
          <w:sz w:val="22"/>
          <w:szCs w:val="22"/>
        </w:rPr>
        <w:t>发包方未能按专用条款的约定提供图纸及开工条件。</w:t>
      </w:r>
    </w:p>
    <w:p>
      <w:pPr>
        <w:numPr>
          <w:ilvl w:val="0"/>
          <w:numId w:val="4"/>
        </w:numPr>
        <w:tabs>
          <w:tab w:val="left" w:pos="851"/>
        </w:tabs>
        <w:adjustRightInd w:val="0"/>
        <w:snapToGrid w:val="0"/>
        <w:spacing w:line="400" w:lineRule="exact"/>
        <w:ind w:left="31680" w:hanging="849" w:hangingChars="386"/>
        <w:jc w:val="left"/>
        <w:rPr>
          <w:sz w:val="22"/>
          <w:szCs w:val="22"/>
        </w:rPr>
      </w:pPr>
      <w:r>
        <w:rPr>
          <w:rFonts w:hint="eastAsia" w:hAnsi="宋体"/>
          <w:sz w:val="22"/>
          <w:szCs w:val="22"/>
        </w:rPr>
        <w:t>发包方未能按约定日期支付工程预付款、进度款，致使施工不能正常进行。一周内，非承包方原因停水、停电、停气影响施工造成停工累计超过</w:t>
      </w:r>
      <w:r>
        <w:rPr>
          <w:sz w:val="22"/>
          <w:szCs w:val="22"/>
        </w:rPr>
        <w:t>8</w:t>
      </w:r>
      <w:r>
        <w:rPr>
          <w:rFonts w:hint="eastAsia" w:hAnsi="宋体"/>
          <w:sz w:val="22"/>
          <w:szCs w:val="22"/>
        </w:rPr>
        <w:t>小时。</w:t>
      </w:r>
    </w:p>
    <w:p>
      <w:pPr>
        <w:numPr>
          <w:ilvl w:val="0"/>
          <w:numId w:val="4"/>
        </w:numPr>
        <w:tabs>
          <w:tab w:val="left" w:pos="851"/>
        </w:tabs>
        <w:adjustRightInd w:val="0"/>
        <w:snapToGrid w:val="0"/>
        <w:spacing w:line="400" w:lineRule="exact"/>
        <w:ind w:left="0" w:firstLine="0"/>
        <w:jc w:val="left"/>
        <w:rPr>
          <w:sz w:val="22"/>
          <w:szCs w:val="22"/>
        </w:rPr>
      </w:pPr>
      <w:r>
        <w:rPr>
          <w:rFonts w:hint="eastAsia" w:hAnsi="宋体"/>
          <w:sz w:val="22"/>
          <w:szCs w:val="22"/>
        </w:rPr>
        <w:t>施工中遇到不可预见障碍物或古墓、文物、流沙等需处理时。</w:t>
      </w:r>
    </w:p>
    <w:p>
      <w:pPr>
        <w:numPr>
          <w:ilvl w:val="0"/>
          <w:numId w:val="4"/>
        </w:numPr>
        <w:tabs>
          <w:tab w:val="left" w:pos="851"/>
        </w:tabs>
        <w:adjustRightInd w:val="0"/>
        <w:snapToGrid w:val="0"/>
        <w:spacing w:line="400" w:lineRule="exact"/>
        <w:ind w:left="31680" w:hanging="849" w:hangingChars="386"/>
        <w:jc w:val="left"/>
        <w:rPr>
          <w:sz w:val="22"/>
          <w:szCs w:val="22"/>
        </w:rPr>
      </w:pPr>
      <w:r>
        <w:rPr>
          <w:rFonts w:hint="eastAsia" w:hAnsi="宋体"/>
          <w:sz w:val="22"/>
          <w:szCs w:val="22"/>
        </w:rPr>
        <w:t>发包方未按约定时间供应材料，致使施工不能正常进行的。</w:t>
      </w:r>
    </w:p>
    <w:p>
      <w:pPr>
        <w:numPr>
          <w:ilvl w:val="0"/>
          <w:numId w:val="4"/>
        </w:numPr>
        <w:tabs>
          <w:tab w:val="left" w:pos="851"/>
        </w:tabs>
        <w:adjustRightInd w:val="0"/>
        <w:snapToGrid w:val="0"/>
        <w:spacing w:line="400" w:lineRule="exact"/>
        <w:ind w:left="31680" w:hanging="849" w:hangingChars="386"/>
        <w:jc w:val="left"/>
        <w:rPr>
          <w:sz w:val="22"/>
          <w:szCs w:val="22"/>
        </w:rPr>
      </w:pPr>
      <w:r>
        <w:rPr>
          <w:rFonts w:hint="eastAsia" w:hAnsi="宋体"/>
          <w:sz w:val="22"/>
          <w:szCs w:val="22"/>
        </w:rPr>
        <w:t>不可抗力（指战争、动乱、空气飞行体坠落或其它非发包方、承包方双方造成的爆炸、火灾，以及协议条款约定的等级以上的风、雨、雪、震等对工程造成损害的自然灾害）。</w:t>
      </w:r>
    </w:p>
    <w:p>
      <w:pPr>
        <w:numPr>
          <w:ilvl w:val="0"/>
          <w:numId w:val="4"/>
        </w:numPr>
        <w:tabs>
          <w:tab w:val="left" w:pos="851"/>
        </w:tabs>
        <w:adjustRightInd w:val="0"/>
        <w:snapToGrid w:val="0"/>
        <w:spacing w:line="400" w:lineRule="exact"/>
        <w:ind w:left="31680" w:hanging="849" w:hangingChars="386"/>
        <w:jc w:val="left"/>
        <w:rPr>
          <w:sz w:val="22"/>
          <w:szCs w:val="22"/>
        </w:rPr>
      </w:pPr>
      <w:r>
        <w:rPr>
          <w:rFonts w:hint="eastAsia" w:hAnsi="宋体"/>
          <w:sz w:val="22"/>
          <w:szCs w:val="22"/>
        </w:rPr>
        <w:t>专用条款中约定或工程师同意工程顺延的其他情况。</w:t>
      </w:r>
    </w:p>
    <w:p>
      <w:pPr>
        <w:tabs>
          <w:tab w:val="left" w:pos="851"/>
        </w:tabs>
        <w:adjustRightInd w:val="0"/>
        <w:snapToGrid w:val="0"/>
        <w:spacing w:beforeLines="100" w:afterLines="100" w:line="400" w:lineRule="exact"/>
        <w:ind w:left="850" w:leftChars="405"/>
        <w:jc w:val="left"/>
        <w:rPr>
          <w:sz w:val="22"/>
          <w:szCs w:val="22"/>
        </w:rPr>
      </w:pPr>
      <w:r>
        <w:rPr>
          <w:rFonts w:hint="eastAsia" w:hAnsi="宋体"/>
          <w:sz w:val="22"/>
          <w:szCs w:val="22"/>
        </w:rPr>
        <w:t>承包方在以上情况发生后五天内向发包方提出报告，逾期未报告，发包方可视为以上情况不影响工期；发包方在收到报告后五天内予以确认答复，逾期不答复，承包方即可视为延期要求已被确认。</w:t>
      </w:r>
    </w:p>
    <w:p>
      <w:pPr>
        <w:tabs>
          <w:tab w:val="left" w:pos="851"/>
        </w:tabs>
        <w:adjustRightInd w:val="0"/>
        <w:snapToGrid w:val="0"/>
        <w:spacing w:beforeLines="100" w:afterLines="100" w:line="400" w:lineRule="exact"/>
        <w:ind w:left="850" w:leftChars="405"/>
        <w:jc w:val="left"/>
        <w:rPr>
          <w:sz w:val="22"/>
          <w:szCs w:val="22"/>
        </w:rPr>
      </w:pPr>
      <w:r>
        <w:rPr>
          <w:rFonts w:hint="eastAsia" w:hAnsi="宋体"/>
          <w:sz w:val="22"/>
          <w:szCs w:val="22"/>
        </w:rPr>
        <w:t>非上述原因，工期不能按合同工期竣工，承包方承担违约责任。</w:t>
      </w:r>
    </w:p>
    <w:p>
      <w:pPr>
        <w:numPr>
          <w:ilvl w:val="0"/>
          <w:numId w:val="3"/>
        </w:numPr>
        <w:tabs>
          <w:tab w:val="left" w:pos="851"/>
        </w:tabs>
        <w:adjustRightInd w:val="0"/>
        <w:snapToGrid w:val="0"/>
        <w:spacing w:beforeLines="100" w:afterLines="100" w:line="400" w:lineRule="exact"/>
        <w:ind w:left="851" w:hanging="851"/>
        <w:jc w:val="left"/>
        <w:rPr>
          <w:sz w:val="22"/>
          <w:szCs w:val="22"/>
        </w:rPr>
      </w:pPr>
      <w:r>
        <w:rPr>
          <w:rFonts w:hint="eastAsia" w:hAnsi="宋体"/>
          <w:sz w:val="22"/>
          <w:szCs w:val="22"/>
        </w:rPr>
        <w:t>工期奖罚。根据工期定额标准双方约定的工期完成日期，工程提前或延误的奖罚费用，双方应拟定如下条款：</w:t>
      </w:r>
    </w:p>
    <w:p>
      <w:pPr>
        <w:numPr>
          <w:ilvl w:val="2"/>
          <w:numId w:val="5"/>
        </w:numPr>
        <w:tabs>
          <w:tab w:val="left" w:pos="851"/>
        </w:tabs>
        <w:adjustRightInd w:val="0"/>
        <w:snapToGrid w:val="0"/>
        <w:spacing w:beforeLines="100" w:afterLines="100" w:line="400" w:lineRule="exact"/>
        <w:ind w:left="851" w:hanging="851"/>
        <w:jc w:val="left"/>
        <w:rPr>
          <w:sz w:val="22"/>
          <w:szCs w:val="22"/>
        </w:rPr>
      </w:pPr>
      <w:r>
        <w:rPr>
          <w:rFonts w:hint="eastAsia" w:hAnsi="宋体"/>
          <w:sz w:val="22"/>
          <w:szCs w:val="22"/>
        </w:rPr>
        <w:t>工期延误</w:t>
      </w:r>
    </w:p>
    <w:p>
      <w:pPr>
        <w:numPr>
          <w:ilvl w:val="0"/>
          <w:numId w:val="6"/>
        </w:numPr>
        <w:tabs>
          <w:tab w:val="left" w:pos="851"/>
        </w:tabs>
        <w:adjustRightInd w:val="0"/>
        <w:snapToGrid w:val="0"/>
        <w:spacing w:line="400" w:lineRule="exact"/>
        <w:ind w:left="851" w:hanging="848"/>
        <w:jc w:val="left"/>
        <w:rPr>
          <w:rFonts w:hAnsi="宋体"/>
          <w:sz w:val="22"/>
          <w:szCs w:val="22"/>
        </w:rPr>
      </w:pPr>
      <w:r>
        <w:rPr>
          <w:rFonts w:hint="eastAsia" w:hAnsi="宋体"/>
          <w:sz w:val="22"/>
          <w:szCs w:val="22"/>
        </w:rPr>
        <w:t>因发包方原因延误工期，造成经济损失，由发包方承担，工期相应顺延；</w:t>
      </w:r>
    </w:p>
    <w:p>
      <w:pPr>
        <w:numPr>
          <w:ilvl w:val="0"/>
          <w:numId w:val="6"/>
        </w:numPr>
        <w:tabs>
          <w:tab w:val="left" w:pos="851"/>
        </w:tabs>
        <w:adjustRightInd w:val="0"/>
        <w:snapToGrid w:val="0"/>
        <w:spacing w:line="400" w:lineRule="exact"/>
        <w:ind w:left="851" w:hanging="848"/>
        <w:jc w:val="left"/>
        <w:rPr>
          <w:rFonts w:hAnsi="宋体"/>
          <w:sz w:val="22"/>
          <w:szCs w:val="22"/>
        </w:rPr>
      </w:pPr>
      <w:r>
        <w:rPr>
          <w:rFonts w:hint="eastAsia" w:hAnsi="宋体"/>
          <w:sz w:val="22"/>
          <w:szCs w:val="22"/>
        </w:rPr>
        <w:t>因承包方原因延误工期，造成经济损失，由承包方承担，并按照第</w:t>
      </w:r>
      <w:r>
        <w:rPr>
          <w:rFonts w:hAnsi="宋体"/>
          <w:sz w:val="22"/>
          <w:szCs w:val="22"/>
        </w:rPr>
        <w:t>17.3</w:t>
      </w:r>
      <w:r>
        <w:rPr>
          <w:rFonts w:hint="eastAsia" w:hAnsi="宋体"/>
          <w:sz w:val="22"/>
          <w:szCs w:val="22"/>
        </w:rPr>
        <w:t>条承担违约责任；</w:t>
      </w:r>
      <w:r>
        <w:rPr>
          <w:rFonts w:hAnsi="宋体"/>
          <w:sz w:val="22"/>
          <w:szCs w:val="22"/>
        </w:rPr>
        <w:t xml:space="preserve"> </w:t>
      </w:r>
    </w:p>
    <w:p>
      <w:pPr>
        <w:numPr>
          <w:ilvl w:val="2"/>
          <w:numId w:val="5"/>
        </w:numPr>
        <w:tabs>
          <w:tab w:val="left" w:pos="851"/>
        </w:tabs>
        <w:adjustRightInd w:val="0"/>
        <w:snapToGrid w:val="0"/>
        <w:spacing w:beforeLines="100" w:afterLines="100" w:line="400" w:lineRule="exact"/>
        <w:ind w:left="851" w:hanging="851"/>
        <w:jc w:val="left"/>
        <w:rPr>
          <w:rFonts w:hAnsi="宋体"/>
          <w:sz w:val="22"/>
          <w:szCs w:val="22"/>
        </w:rPr>
      </w:pPr>
      <w:r>
        <w:rPr>
          <w:rFonts w:hint="eastAsia" w:hAnsi="宋体"/>
          <w:sz w:val="22"/>
          <w:szCs w:val="22"/>
        </w:rPr>
        <w:t>提前竣工奖励</w:t>
      </w:r>
    </w:p>
    <w:p>
      <w:pPr>
        <w:tabs>
          <w:tab w:val="left" w:pos="851"/>
        </w:tabs>
        <w:adjustRightInd w:val="0"/>
        <w:snapToGrid w:val="0"/>
        <w:spacing w:beforeLines="100" w:afterLines="100" w:line="400" w:lineRule="exact"/>
        <w:ind w:left="851"/>
        <w:jc w:val="left"/>
        <w:rPr>
          <w:rFonts w:hAnsi="宋体"/>
          <w:sz w:val="22"/>
          <w:szCs w:val="22"/>
        </w:rPr>
      </w:pPr>
      <w:r>
        <w:rPr>
          <w:rFonts w:hint="eastAsia" w:hAnsi="宋体"/>
          <w:b/>
          <w:bCs/>
          <w:sz w:val="28"/>
          <w:szCs w:val="28"/>
        </w:rPr>
        <w:sym w:font="Wingdings 2" w:char="0051"/>
      </w:r>
      <w:r>
        <w:rPr>
          <w:rFonts w:hint="eastAsia" w:hAnsi="宋体"/>
          <w:b/>
          <w:bCs/>
          <w:sz w:val="28"/>
          <w:szCs w:val="28"/>
          <w:lang w:val="en-US" w:eastAsia="zh-CN"/>
        </w:rPr>
        <w:t xml:space="preserve"> </w:t>
      </w:r>
      <w:r>
        <w:rPr>
          <w:rFonts w:hint="eastAsia" w:hAnsi="宋体"/>
          <w:sz w:val="22"/>
          <w:szCs w:val="22"/>
        </w:rPr>
        <w:t>如果承包方的实际竣工日期早于计划竣工日期，承包方有权向发包方提出并得到提前竣工奖励。提前竣工奖励</w:t>
      </w:r>
      <w:r>
        <w:rPr>
          <w:rFonts w:hAnsi="宋体"/>
          <w:sz w:val="22"/>
          <w:szCs w:val="22"/>
        </w:rPr>
        <w:t>=</w:t>
      </w:r>
      <w:r>
        <w:rPr>
          <w:rFonts w:hint="eastAsia" w:hAnsi="宋体"/>
          <w:sz w:val="22"/>
          <w:szCs w:val="22"/>
        </w:rPr>
        <w:t>提前竣工天数</w:t>
      </w:r>
      <w:r>
        <w:rPr>
          <w:rFonts w:hAnsi="宋体"/>
          <w:sz w:val="22"/>
          <w:szCs w:val="22"/>
        </w:rPr>
        <w:t>*</w:t>
      </w:r>
      <w:r>
        <w:rPr>
          <w:rFonts w:hint="eastAsia" w:hAnsi="宋体"/>
          <w:sz w:val="22"/>
          <w:szCs w:val="22"/>
        </w:rPr>
        <w:t>每日历天应奖励额度</w:t>
      </w:r>
      <w:r>
        <w:rPr>
          <w:rFonts w:hAnsi="宋体"/>
          <w:sz w:val="22"/>
          <w:szCs w:val="22"/>
          <w:u w:val="single"/>
        </w:rPr>
        <w:t xml:space="preserve">/ </w:t>
      </w:r>
      <w:r>
        <w:rPr>
          <w:rFonts w:hint="eastAsia" w:hAnsi="宋体"/>
          <w:sz w:val="22"/>
          <w:szCs w:val="22"/>
        </w:rPr>
        <w:t>元。提前竣工奖励的最高限额为合同价款的</w:t>
      </w:r>
      <w:r>
        <w:rPr>
          <w:rFonts w:hAnsi="宋体"/>
          <w:sz w:val="22"/>
          <w:szCs w:val="22"/>
          <w:u w:val="single"/>
        </w:rPr>
        <w:t xml:space="preserve"> /</w:t>
      </w:r>
      <w:r>
        <w:rPr>
          <w:rFonts w:hint="eastAsia" w:hAnsi="宋体"/>
          <w:sz w:val="22"/>
          <w:szCs w:val="22"/>
          <w:u w:val="single"/>
          <w:lang w:val="en-US" w:eastAsia="zh-CN"/>
        </w:rPr>
        <w:t xml:space="preserve"> </w:t>
      </w:r>
      <w:r>
        <w:rPr>
          <w:rFonts w:hAnsi="宋体"/>
          <w:sz w:val="22"/>
          <w:szCs w:val="22"/>
        </w:rPr>
        <w:t>%</w:t>
      </w:r>
      <w:r>
        <w:rPr>
          <w:rFonts w:hint="eastAsia" w:hAnsi="宋体"/>
          <w:sz w:val="22"/>
          <w:szCs w:val="22"/>
        </w:rPr>
        <w:t>。提前竣工奖列入竣工结算文件中，与结算款一并支付。</w:t>
      </w:r>
    </w:p>
    <w:p>
      <w:pPr>
        <w:numPr>
          <w:ilvl w:val="0"/>
          <w:numId w:val="1"/>
        </w:numPr>
        <w:tabs>
          <w:tab w:val="left" w:pos="851"/>
        </w:tabs>
        <w:adjustRightInd w:val="0"/>
        <w:snapToGrid w:val="0"/>
        <w:spacing w:beforeLines="100" w:afterLines="100" w:line="400" w:lineRule="exact"/>
        <w:ind w:left="0" w:firstLine="0"/>
        <w:jc w:val="left"/>
        <w:rPr>
          <w:sz w:val="22"/>
          <w:szCs w:val="22"/>
        </w:rPr>
      </w:pPr>
      <w:r>
        <w:rPr>
          <w:rFonts w:hint="eastAsia" w:hAnsi="宋体"/>
          <w:sz w:val="22"/>
          <w:szCs w:val="22"/>
        </w:rPr>
        <w:t>合同价款</w:t>
      </w:r>
    </w:p>
    <w:p>
      <w:pPr>
        <w:numPr>
          <w:ilvl w:val="0"/>
          <w:numId w:val="7"/>
        </w:numPr>
        <w:tabs>
          <w:tab w:val="left" w:pos="851"/>
        </w:tabs>
        <w:adjustRightInd w:val="0"/>
        <w:snapToGrid w:val="0"/>
        <w:spacing w:line="400" w:lineRule="exact"/>
        <w:ind w:left="851" w:hanging="851"/>
        <w:jc w:val="left"/>
        <w:rPr>
          <w:sz w:val="22"/>
          <w:szCs w:val="22"/>
          <w:u w:val="single"/>
        </w:rPr>
      </w:pPr>
      <w:r>
        <w:rPr>
          <w:rFonts w:hint="eastAsia"/>
          <w:sz w:val="22"/>
          <w:szCs w:val="22"/>
        </w:rPr>
        <w:t>承包总价：（大写</w:t>
      </w:r>
      <w:r>
        <w:rPr>
          <w:rFonts w:hint="eastAsia"/>
          <w:sz w:val="22"/>
          <w:szCs w:val="22"/>
          <w:u w:val="single"/>
        </w:rPr>
        <w:t>）</w:t>
      </w:r>
      <w:r>
        <w:rPr>
          <w:rFonts w:hint="eastAsia"/>
          <w:sz w:val="22"/>
          <w:szCs w:val="22"/>
          <w:u w:val="single"/>
          <w:lang w:val="en-US" w:eastAsia="zh-CN"/>
        </w:rPr>
        <w:t xml:space="preserve">    </w:t>
      </w:r>
      <w:r>
        <w:rPr>
          <w:rFonts w:hint="eastAsia"/>
          <w:sz w:val="22"/>
          <w:szCs w:val="22"/>
        </w:rPr>
        <w:t>，</w:t>
      </w:r>
    </w:p>
    <w:p>
      <w:pPr>
        <w:numPr>
          <w:ilvl w:val="0"/>
          <w:numId w:val="7"/>
        </w:numPr>
        <w:tabs>
          <w:tab w:val="left" w:pos="851"/>
        </w:tabs>
        <w:adjustRightInd w:val="0"/>
        <w:snapToGrid w:val="0"/>
        <w:spacing w:line="400" w:lineRule="exact"/>
        <w:ind w:left="851" w:hanging="851"/>
        <w:jc w:val="left"/>
        <w:rPr>
          <w:sz w:val="22"/>
          <w:szCs w:val="22"/>
          <w:u w:val="single"/>
        </w:rPr>
      </w:pPr>
      <w:r>
        <w:rPr>
          <w:rFonts w:hint="eastAsia"/>
          <w:sz w:val="22"/>
          <w:szCs w:val="22"/>
        </w:rPr>
        <w:t>（小写）：</w:t>
      </w:r>
      <w:r>
        <w:rPr>
          <w:rFonts w:hint="eastAsia" w:ascii="宋体" w:hAnsi="宋体"/>
          <w:sz w:val="22"/>
          <w:szCs w:val="22"/>
          <w:u w:val="single"/>
        </w:rPr>
        <w:t>￥</w:t>
      </w:r>
      <w:r>
        <w:rPr>
          <w:rFonts w:hint="eastAsia" w:ascii="宋体" w:hAnsi="宋体"/>
          <w:sz w:val="22"/>
          <w:szCs w:val="22"/>
          <w:u w:val="single"/>
          <w:lang w:val="en-US" w:eastAsia="zh-CN"/>
        </w:rPr>
        <w:t xml:space="preserve">       </w:t>
      </w:r>
      <w:r>
        <w:rPr>
          <w:rFonts w:hint="eastAsia" w:ascii="宋体" w:hAnsi="宋体"/>
          <w:sz w:val="22"/>
          <w:szCs w:val="22"/>
          <w:u w:val="single"/>
        </w:rPr>
        <w:t>元</w:t>
      </w:r>
      <w:r>
        <w:rPr>
          <w:rFonts w:hint="eastAsia"/>
          <w:sz w:val="22"/>
          <w:szCs w:val="22"/>
        </w:rPr>
        <w:t>。</w:t>
      </w:r>
    </w:p>
    <w:p>
      <w:pPr>
        <w:numPr>
          <w:ilvl w:val="0"/>
          <w:numId w:val="7"/>
        </w:numPr>
        <w:tabs>
          <w:tab w:val="left" w:pos="851"/>
        </w:tabs>
        <w:adjustRightInd w:val="0"/>
        <w:snapToGrid w:val="0"/>
        <w:spacing w:line="400" w:lineRule="exact"/>
        <w:ind w:left="851" w:hanging="851"/>
        <w:jc w:val="left"/>
        <w:rPr>
          <w:sz w:val="22"/>
          <w:szCs w:val="22"/>
        </w:rPr>
      </w:pPr>
      <w:r>
        <w:rPr>
          <w:rFonts w:hint="eastAsia" w:hAnsi="宋体"/>
          <w:sz w:val="22"/>
          <w:szCs w:val="22"/>
        </w:rPr>
        <w:t>项目单价：</w:t>
      </w:r>
      <w:r>
        <w:rPr>
          <w:sz w:val="44"/>
          <w:szCs w:val="44"/>
        </w:rPr>
        <w:sym w:font="Wingdings" w:char="F0FE"/>
      </w:r>
      <w:r>
        <w:rPr>
          <w:rFonts w:hint="eastAsia" w:hAnsi="宋体"/>
          <w:sz w:val="22"/>
          <w:szCs w:val="22"/>
        </w:rPr>
        <w:t>详见承包方的</w:t>
      </w:r>
      <w:r>
        <w:rPr>
          <w:rFonts w:hint="eastAsia"/>
          <w:sz w:val="22"/>
          <w:szCs w:val="22"/>
        </w:rPr>
        <w:t>投标报价书（招标工程）</w:t>
      </w:r>
    </w:p>
    <w:p>
      <w:pPr>
        <w:tabs>
          <w:tab w:val="left" w:pos="1276"/>
        </w:tabs>
        <w:adjustRightInd w:val="0"/>
        <w:snapToGrid w:val="0"/>
        <w:spacing w:line="400" w:lineRule="exact"/>
        <w:ind w:left="850" w:leftChars="405" w:firstLine="1130" w:firstLineChars="257"/>
        <w:jc w:val="left"/>
        <w:rPr>
          <w:sz w:val="22"/>
          <w:szCs w:val="22"/>
        </w:rPr>
      </w:pPr>
      <w:r>
        <w:rPr>
          <w:sz w:val="44"/>
          <w:szCs w:val="44"/>
        </w:rPr>
        <w:t>□</w:t>
      </w:r>
      <w:r>
        <w:rPr>
          <w:rFonts w:hint="eastAsia"/>
          <w:sz w:val="22"/>
          <w:szCs w:val="22"/>
        </w:rPr>
        <w:t>详见经确认的工程量清单报价单或施工图预算书（非招标工程）</w:t>
      </w:r>
    </w:p>
    <w:p>
      <w:pPr>
        <w:numPr>
          <w:ilvl w:val="0"/>
          <w:numId w:val="7"/>
        </w:numPr>
        <w:tabs>
          <w:tab w:val="left" w:pos="851"/>
        </w:tabs>
        <w:adjustRightInd w:val="0"/>
        <w:snapToGrid w:val="0"/>
        <w:spacing w:line="400" w:lineRule="exact"/>
        <w:ind w:left="851" w:hanging="851"/>
        <w:jc w:val="left"/>
        <w:rPr>
          <w:sz w:val="22"/>
          <w:szCs w:val="22"/>
        </w:rPr>
      </w:pPr>
      <w:bookmarkStart w:id="1" w:name="OLE_LINK5"/>
      <w:bookmarkStart w:id="2" w:name="OLE_LINK4"/>
      <w:r>
        <w:rPr>
          <w:rFonts w:hint="eastAsia"/>
          <w:sz w:val="22"/>
          <w:szCs w:val="22"/>
        </w:rPr>
        <w:t>合同价款的调整因素：</w:t>
      </w:r>
    </w:p>
    <w:bookmarkEnd w:id="1"/>
    <w:bookmarkEnd w:id="2"/>
    <w:p>
      <w:pPr>
        <w:adjustRightInd w:val="0"/>
        <w:snapToGrid w:val="0"/>
        <w:spacing w:line="400" w:lineRule="exact"/>
        <w:ind w:left="850" w:leftChars="405"/>
        <w:rPr>
          <w:rFonts w:ascii="宋体"/>
          <w:sz w:val="22"/>
          <w:szCs w:val="22"/>
        </w:rPr>
      </w:pPr>
      <w:r>
        <w:rPr>
          <w:sz w:val="44"/>
          <w:szCs w:val="44"/>
        </w:rPr>
        <w:sym w:font="Wingdings" w:char="F0FE"/>
      </w:r>
      <w:r>
        <w:rPr>
          <w:rFonts w:hint="eastAsia" w:ascii="宋体" w:hAnsi="宋体"/>
          <w:sz w:val="22"/>
          <w:szCs w:val="22"/>
        </w:rPr>
        <w:t>工程量的增减；</w:t>
      </w:r>
    </w:p>
    <w:p>
      <w:pPr>
        <w:adjustRightInd w:val="0"/>
        <w:snapToGrid w:val="0"/>
        <w:spacing w:line="400" w:lineRule="exact"/>
        <w:ind w:left="850" w:leftChars="405"/>
        <w:rPr>
          <w:rFonts w:ascii="宋体"/>
          <w:sz w:val="22"/>
          <w:szCs w:val="22"/>
        </w:rPr>
      </w:pPr>
      <w:r>
        <w:rPr>
          <w:rFonts w:hint="eastAsia" w:hAnsi="宋体"/>
          <w:b/>
          <w:bCs/>
          <w:sz w:val="28"/>
          <w:szCs w:val="28"/>
        </w:rPr>
        <w:sym w:font="Wingdings 2" w:char="0051"/>
      </w:r>
      <w:r>
        <w:rPr>
          <w:rFonts w:hint="eastAsia" w:hAnsi="宋体"/>
          <w:b/>
          <w:bCs/>
          <w:sz w:val="28"/>
          <w:szCs w:val="28"/>
          <w:lang w:val="en-US" w:eastAsia="zh-CN"/>
        </w:rPr>
        <w:t xml:space="preserve"> </w:t>
      </w:r>
      <w:r>
        <w:rPr>
          <w:rFonts w:hint="eastAsia" w:ascii="宋体" w:hAnsi="宋体"/>
          <w:sz w:val="22"/>
          <w:szCs w:val="22"/>
        </w:rPr>
        <w:t>物价变化；</w:t>
      </w:r>
    </w:p>
    <w:p>
      <w:pPr>
        <w:adjustRightInd w:val="0"/>
        <w:snapToGrid w:val="0"/>
        <w:spacing w:line="400" w:lineRule="exact"/>
        <w:ind w:left="850" w:leftChars="405"/>
        <w:rPr>
          <w:rFonts w:ascii="宋体"/>
          <w:sz w:val="22"/>
          <w:szCs w:val="22"/>
        </w:rPr>
      </w:pPr>
      <w:r>
        <w:rPr>
          <w:rFonts w:hint="eastAsia" w:hAnsi="宋体"/>
          <w:b/>
          <w:bCs/>
          <w:sz w:val="28"/>
          <w:szCs w:val="28"/>
        </w:rPr>
        <w:sym w:font="Wingdings 2" w:char="0051"/>
      </w:r>
      <w:r>
        <w:rPr>
          <w:rFonts w:hint="eastAsia" w:hAnsi="宋体"/>
          <w:b/>
          <w:bCs/>
          <w:sz w:val="28"/>
          <w:szCs w:val="28"/>
          <w:lang w:val="en-US" w:eastAsia="zh-CN"/>
        </w:rPr>
        <w:t xml:space="preserve"> </w:t>
      </w:r>
      <w:r>
        <w:rPr>
          <w:rFonts w:hint="eastAsia" w:ascii="宋体" w:hAnsi="宋体"/>
          <w:sz w:val="22"/>
          <w:szCs w:val="22"/>
        </w:rPr>
        <w:t>设计变更；</w:t>
      </w:r>
    </w:p>
    <w:p>
      <w:pPr>
        <w:adjustRightInd w:val="0"/>
        <w:snapToGrid w:val="0"/>
        <w:spacing w:line="400" w:lineRule="exact"/>
        <w:ind w:left="850" w:leftChars="405"/>
        <w:rPr>
          <w:rFonts w:ascii="宋体"/>
          <w:sz w:val="22"/>
          <w:szCs w:val="22"/>
        </w:rPr>
      </w:pPr>
      <w:r>
        <w:rPr>
          <w:rFonts w:hint="eastAsia" w:hAnsi="宋体"/>
          <w:b/>
          <w:bCs/>
          <w:sz w:val="28"/>
          <w:szCs w:val="28"/>
        </w:rPr>
        <w:sym w:font="Wingdings 2" w:char="0051"/>
      </w:r>
      <w:r>
        <w:rPr>
          <w:rFonts w:hint="eastAsia" w:hAnsi="宋体"/>
          <w:b/>
          <w:bCs/>
          <w:sz w:val="28"/>
          <w:szCs w:val="28"/>
          <w:lang w:val="en-US" w:eastAsia="zh-CN"/>
        </w:rPr>
        <w:t xml:space="preserve"> </w:t>
      </w:r>
      <w:r>
        <w:rPr>
          <w:rFonts w:hint="eastAsia" w:ascii="宋体" w:hAnsi="宋体"/>
          <w:sz w:val="22"/>
          <w:szCs w:val="22"/>
        </w:rPr>
        <w:t>收费减免（经依法批准）；</w:t>
      </w:r>
    </w:p>
    <w:p>
      <w:pPr>
        <w:adjustRightInd w:val="0"/>
        <w:snapToGrid w:val="0"/>
        <w:spacing w:line="400" w:lineRule="exact"/>
        <w:ind w:left="850" w:leftChars="405"/>
        <w:rPr>
          <w:sz w:val="22"/>
          <w:szCs w:val="22"/>
          <w:u w:val="single"/>
        </w:rPr>
      </w:pPr>
      <w:r>
        <w:rPr>
          <w:rFonts w:hint="eastAsia" w:hAnsi="宋体"/>
          <w:b/>
          <w:bCs/>
          <w:sz w:val="28"/>
          <w:szCs w:val="28"/>
        </w:rPr>
        <w:sym w:font="Wingdings 2" w:char="0051"/>
      </w:r>
      <w:r>
        <w:rPr>
          <w:rFonts w:hint="eastAsia" w:hAnsi="宋体"/>
          <w:b/>
          <w:bCs/>
          <w:sz w:val="28"/>
          <w:szCs w:val="28"/>
          <w:lang w:val="en-US" w:eastAsia="zh-CN"/>
        </w:rPr>
        <w:t xml:space="preserve"> </w:t>
      </w:r>
      <w:r>
        <w:rPr>
          <w:rFonts w:hint="eastAsia" w:ascii="宋体" w:hAnsi="宋体"/>
          <w:sz w:val="22"/>
          <w:szCs w:val="22"/>
        </w:rPr>
        <w:t>其他调整因素：</w:t>
      </w:r>
      <w:r>
        <w:rPr>
          <w:rFonts w:ascii="宋体" w:hAnsi="宋体"/>
          <w:sz w:val="22"/>
          <w:szCs w:val="22"/>
          <w:u w:val="single"/>
        </w:rPr>
        <w:t xml:space="preserve">          /     </w:t>
      </w:r>
      <w:r>
        <w:rPr>
          <w:rFonts w:hint="eastAsia"/>
          <w:sz w:val="22"/>
          <w:szCs w:val="22"/>
        </w:rPr>
        <w:t>。</w:t>
      </w:r>
    </w:p>
    <w:p>
      <w:pPr>
        <w:numPr>
          <w:ilvl w:val="0"/>
          <w:numId w:val="7"/>
        </w:numPr>
        <w:tabs>
          <w:tab w:val="left" w:pos="851"/>
        </w:tabs>
        <w:adjustRightInd w:val="0"/>
        <w:snapToGrid w:val="0"/>
        <w:spacing w:line="400" w:lineRule="exact"/>
        <w:ind w:left="851" w:hanging="851"/>
        <w:jc w:val="left"/>
        <w:rPr>
          <w:sz w:val="22"/>
          <w:szCs w:val="22"/>
        </w:rPr>
      </w:pPr>
      <w:bookmarkStart w:id="3" w:name="OLE_LINK8"/>
      <w:bookmarkStart w:id="4" w:name="OLE_LINK6"/>
      <w:bookmarkStart w:id="5" w:name="OLE_LINK7"/>
      <w:r>
        <w:rPr>
          <w:rFonts w:hint="eastAsia"/>
          <w:sz w:val="22"/>
          <w:szCs w:val="22"/>
        </w:rPr>
        <w:t>合同价款调整的计价原则和计价方式</w:t>
      </w:r>
      <w:bookmarkEnd w:id="3"/>
      <w:r>
        <w:rPr>
          <w:rFonts w:hint="eastAsia"/>
          <w:sz w:val="22"/>
          <w:szCs w:val="22"/>
        </w:rPr>
        <w:t>：</w:t>
      </w:r>
    </w:p>
    <w:bookmarkEnd w:id="4"/>
    <w:bookmarkEnd w:id="5"/>
    <w:p>
      <w:pPr>
        <w:autoSpaceDE w:val="0"/>
        <w:autoSpaceDN w:val="0"/>
        <w:adjustRightInd w:val="0"/>
        <w:spacing w:line="360" w:lineRule="auto"/>
        <w:ind w:left="851"/>
        <w:jc w:val="left"/>
        <w:rPr>
          <w:sz w:val="22"/>
          <w:szCs w:val="22"/>
        </w:rPr>
      </w:pPr>
      <w:r>
        <w:rPr>
          <w:rFonts w:hint="eastAsia" w:hAnsi="宋体"/>
          <w:b/>
          <w:bCs/>
          <w:sz w:val="28"/>
          <w:szCs w:val="28"/>
        </w:rPr>
        <w:sym w:font="Wingdings 2" w:char="0051"/>
      </w:r>
      <w:r>
        <w:rPr>
          <w:rFonts w:hint="eastAsia" w:hAnsi="宋体"/>
          <w:b/>
          <w:bCs/>
          <w:sz w:val="28"/>
          <w:szCs w:val="28"/>
          <w:lang w:val="en-US" w:eastAsia="zh-CN"/>
        </w:rPr>
        <w:t xml:space="preserve"> </w:t>
      </w:r>
      <w:r>
        <w:rPr>
          <w:rFonts w:hint="eastAsia"/>
          <w:sz w:val="22"/>
          <w:szCs w:val="22"/>
        </w:rPr>
        <w:t>工程量清单报价单或预算书有相同项目的，按照相同项目单价认定；无相同项目，但有类似项目的，参照类似项目的单价认定；工程量变化幅度超过</w:t>
      </w:r>
      <w:r>
        <w:rPr>
          <w:sz w:val="22"/>
          <w:szCs w:val="22"/>
        </w:rPr>
        <w:t>15%</w:t>
      </w:r>
      <w:r>
        <w:rPr>
          <w:rFonts w:hint="eastAsia"/>
          <w:sz w:val="22"/>
          <w:szCs w:val="22"/>
        </w:rPr>
        <w:t>或工程量清单报价单或预算书中无相同项目及类似项目单价的，按照合理的成本与利润构成的原则，由合同另行商定变更工作的单价。</w:t>
      </w:r>
    </w:p>
    <w:p>
      <w:pPr>
        <w:autoSpaceDE w:val="0"/>
        <w:autoSpaceDN w:val="0"/>
        <w:adjustRightInd w:val="0"/>
        <w:spacing w:line="360" w:lineRule="auto"/>
        <w:ind w:left="851"/>
        <w:jc w:val="left"/>
        <w:rPr>
          <w:sz w:val="22"/>
          <w:szCs w:val="22"/>
        </w:rPr>
      </w:pPr>
      <w:r>
        <w:rPr>
          <w:rFonts w:hint="eastAsia" w:ascii="宋体" w:hAnsi="宋体"/>
          <w:sz w:val="28"/>
          <w:szCs w:val="28"/>
          <w:lang w:val="en-US" w:eastAsia="zh-CN"/>
        </w:rPr>
        <w:t xml:space="preserve"> </w:t>
      </w:r>
      <w:r>
        <w:rPr>
          <w:rFonts w:hint="eastAsia" w:hAnsi="宋体"/>
          <w:b/>
          <w:bCs/>
          <w:sz w:val="28"/>
          <w:szCs w:val="28"/>
        </w:rPr>
        <w:sym w:font="Wingdings 2" w:char="0051"/>
      </w:r>
      <w:r>
        <w:rPr>
          <w:rFonts w:hint="eastAsia" w:hAnsi="宋体"/>
          <w:b/>
          <w:bCs/>
          <w:sz w:val="28"/>
          <w:szCs w:val="28"/>
          <w:lang w:val="en-US" w:eastAsia="zh-CN"/>
        </w:rPr>
        <w:t xml:space="preserve"> </w:t>
      </w:r>
      <w:r>
        <w:rPr>
          <w:rFonts w:hint="eastAsia"/>
          <w:sz w:val="22"/>
          <w:szCs w:val="22"/>
        </w:rPr>
        <w:t>合同履行期间，人工、材料、机械价格涨幅超过工程量清单报价单或预算书中载明的相应单价</w:t>
      </w:r>
      <w:r>
        <w:rPr>
          <w:sz w:val="22"/>
          <w:szCs w:val="22"/>
        </w:rPr>
        <w:t>10%</w:t>
      </w:r>
      <w:r>
        <w:rPr>
          <w:rFonts w:hint="eastAsia"/>
          <w:sz w:val="22"/>
          <w:szCs w:val="22"/>
        </w:rPr>
        <w:t>时，按超过</w:t>
      </w:r>
      <w:r>
        <w:rPr>
          <w:sz w:val="22"/>
          <w:szCs w:val="22"/>
        </w:rPr>
        <w:t>10%</w:t>
      </w:r>
      <w:r>
        <w:rPr>
          <w:rFonts w:hint="eastAsia"/>
          <w:sz w:val="22"/>
          <w:szCs w:val="22"/>
        </w:rPr>
        <w:t>部分据实调整。涨跌幅未超过</w:t>
      </w:r>
      <w:r>
        <w:rPr>
          <w:sz w:val="22"/>
          <w:szCs w:val="22"/>
        </w:rPr>
        <w:t>10%</w:t>
      </w:r>
      <w:r>
        <w:rPr>
          <w:rFonts w:hint="eastAsia"/>
          <w:sz w:val="22"/>
          <w:szCs w:val="22"/>
        </w:rPr>
        <w:t>的不再调整。但承包方应在采购材料设备前将采购数量和新的单价报发包方确认。发包方在收到承包方报送的确认资料后</w:t>
      </w:r>
      <w:r>
        <w:rPr>
          <w:sz w:val="22"/>
          <w:szCs w:val="22"/>
        </w:rPr>
        <w:t>5</w:t>
      </w:r>
      <w:r>
        <w:rPr>
          <w:rFonts w:hint="eastAsia"/>
          <w:sz w:val="22"/>
          <w:szCs w:val="22"/>
        </w:rPr>
        <w:t>天内不予答复的视为认可，作为调整合同价格的依据。未经发包方事先核对，承包方自行采购材料设备的，发包方有权不予调整合同价格。</w:t>
      </w:r>
    </w:p>
    <w:p>
      <w:pPr>
        <w:autoSpaceDE w:val="0"/>
        <w:autoSpaceDN w:val="0"/>
        <w:adjustRightInd w:val="0"/>
        <w:spacing w:line="360" w:lineRule="auto"/>
        <w:ind w:left="851"/>
        <w:jc w:val="left"/>
        <w:rPr>
          <w:rFonts w:ascii="宋体"/>
          <w:sz w:val="28"/>
          <w:szCs w:val="28"/>
          <w:u w:val="single"/>
        </w:rPr>
      </w:pPr>
      <w:r>
        <w:rPr>
          <w:rFonts w:hint="eastAsia" w:hAnsi="宋体"/>
          <w:b/>
          <w:bCs/>
          <w:sz w:val="28"/>
          <w:szCs w:val="28"/>
        </w:rPr>
        <w:sym w:font="Wingdings 2" w:char="0051"/>
      </w:r>
      <w:r>
        <w:rPr>
          <w:rFonts w:hint="eastAsia" w:hAnsi="宋体"/>
          <w:b/>
          <w:bCs/>
          <w:sz w:val="28"/>
          <w:szCs w:val="28"/>
          <w:lang w:val="en-US" w:eastAsia="zh-CN"/>
        </w:rPr>
        <w:t xml:space="preserve"> </w:t>
      </w:r>
      <w:r>
        <w:rPr>
          <w:rFonts w:ascii="宋体" w:hAnsi="宋体"/>
          <w:sz w:val="28"/>
          <w:szCs w:val="28"/>
          <w:u w:val="single"/>
        </w:rPr>
        <w:t xml:space="preserve">                      </w:t>
      </w:r>
      <w:r>
        <w:rPr>
          <w:rFonts w:ascii="宋体" w:hAnsi="宋体"/>
          <w:sz w:val="22"/>
          <w:szCs w:val="22"/>
          <w:u w:val="single"/>
        </w:rPr>
        <w:t xml:space="preserve">/ </w:t>
      </w:r>
      <w:r>
        <w:rPr>
          <w:rFonts w:ascii="宋体" w:hAnsi="宋体"/>
          <w:sz w:val="28"/>
          <w:szCs w:val="28"/>
          <w:u w:val="single"/>
        </w:rPr>
        <w:t xml:space="preserve">                           </w:t>
      </w:r>
    </w:p>
    <w:p>
      <w:pPr>
        <w:autoSpaceDE w:val="0"/>
        <w:autoSpaceDN w:val="0"/>
        <w:adjustRightInd w:val="0"/>
        <w:spacing w:line="360" w:lineRule="auto"/>
        <w:ind w:left="851"/>
        <w:jc w:val="left"/>
        <w:rPr>
          <w:sz w:val="22"/>
          <w:szCs w:val="22"/>
          <w:u w:val="none"/>
        </w:rPr>
      </w:pPr>
      <w:r>
        <w:rPr>
          <w:rFonts w:ascii="宋体" w:hAnsi="宋体"/>
          <w:sz w:val="28"/>
          <w:szCs w:val="28"/>
          <w:u w:val="none"/>
        </w:rPr>
        <w:t>______________________</w:t>
      </w:r>
      <w:r>
        <w:rPr>
          <w:rFonts w:ascii="宋体" w:hAnsi="宋体"/>
          <w:sz w:val="22"/>
          <w:szCs w:val="22"/>
          <w:u w:val="none"/>
        </w:rPr>
        <w:t xml:space="preserve">/ </w:t>
      </w:r>
      <w:r>
        <w:rPr>
          <w:rFonts w:ascii="宋体" w:hAnsi="宋体"/>
          <w:sz w:val="28"/>
          <w:szCs w:val="28"/>
          <w:u w:val="none"/>
        </w:rPr>
        <w:t>________________________ ______</w:t>
      </w:r>
    </w:p>
    <w:p>
      <w:pPr>
        <w:numPr>
          <w:ilvl w:val="0"/>
          <w:numId w:val="1"/>
        </w:numPr>
        <w:tabs>
          <w:tab w:val="left" w:pos="851"/>
        </w:tabs>
        <w:adjustRightInd w:val="0"/>
        <w:snapToGrid w:val="0"/>
        <w:spacing w:beforeLines="100" w:afterLines="100" w:line="400" w:lineRule="exact"/>
        <w:ind w:left="0" w:firstLine="0"/>
        <w:jc w:val="left"/>
        <w:rPr>
          <w:sz w:val="22"/>
          <w:szCs w:val="22"/>
        </w:rPr>
      </w:pPr>
      <w:r>
        <w:rPr>
          <w:rFonts w:hint="eastAsia" w:hAnsi="宋体"/>
          <w:bCs/>
          <w:sz w:val="22"/>
          <w:szCs w:val="22"/>
        </w:rPr>
        <w:t>图纸</w:t>
      </w:r>
    </w:p>
    <w:p>
      <w:pPr>
        <w:tabs>
          <w:tab w:val="left" w:pos="1276"/>
        </w:tabs>
        <w:adjustRightInd w:val="0"/>
        <w:snapToGrid w:val="0"/>
        <w:spacing w:beforeLines="100" w:afterLines="100" w:line="400" w:lineRule="exact"/>
        <w:ind w:left="850" w:leftChars="405"/>
        <w:jc w:val="left"/>
        <w:rPr>
          <w:rFonts w:hAnsi="宋体"/>
          <w:sz w:val="22"/>
          <w:szCs w:val="22"/>
        </w:rPr>
      </w:pPr>
      <w:r>
        <w:rPr>
          <w:rFonts w:hint="eastAsia" w:hAnsi="宋体"/>
          <w:sz w:val="22"/>
          <w:szCs w:val="22"/>
        </w:rPr>
        <w:t>发包方于</w:t>
      </w:r>
      <w:r>
        <w:rPr>
          <w:sz w:val="22"/>
          <w:szCs w:val="22"/>
          <w:u w:val="single"/>
        </w:rPr>
        <w:t>201</w:t>
      </w:r>
      <w:r>
        <w:rPr>
          <w:rFonts w:hint="eastAsia"/>
          <w:sz w:val="22"/>
          <w:szCs w:val="22"/>
          <w:u w:val="single"/>
          <w:lang w:val="en-US" w:eastAsia="zh-CN"/>
        </w:rPr>
        <w:t>8</w:t>
      </w:r>
      <w:r>
        <w:rPr>
          <w:rFonts w:hint="eastAsia" w:hAnsi="宋体"/>
          <w:sz w:val="22"/>
          <w:szCs w:val="22"/>
        </w:rPr>
        <w:t>年</w:t>
      </w:r>
      <w:r>
        <w:rPr>
          <w:sz w:val="22"/>
          <w:szCs w:val="22"/>
        </w:rPr>
        <w:t>_</w:t>
      </w:r>
      <w:r>
        <w:rPr>
          <w:rFonts w:hint="eastAsia"/>
          <w:sz w:val="22"/>
          <w:szCs w:val="22"/>
          <w:lang w:val="en-US" w:eastAsia="zh-CN"/>
        </w:rPr>
        <w:t xml:space="preserve">  </w:t>
      </w:r>
      <w:r>
        <w:rPr>
          <w:sz w:val="22"/>
          <w:szCs w:val="22"/>
        </w:rPr>
        <w:t>_</w:t>
      </w:r>
      <w:r>
        <w:rPr>
          <w:rFonts w:hint="eastAsia" w:hAnsi="宋体"/>
          <w:sz w:val="22"/>
          <w:szCs w:val="22"/>
        </w:rPr>
        <w:t>月</w:t>
      </w:r>
      <w:r>
        <w:rPr>
          <w:sz w:val="22"/>
          <w:szCs w:val="22"/>
        </w:rPr>
        <w:t>_</w:t>
      </w:r>
      <w:r>
        <w:rPr>
          <w:rFonts w:hint="eastAsia"/>
          <w:sz w:val="22"/>
          <w:szCs w:val="22"/>
          <w:lang w:val="en-US" w:eastAsia="zh-CN"/>
        </w:rPr>
        <w:t xml:space="preserve"> </w:t>
      </w:r>
      <w:r>
        <w:rPr>
          <w:sz w:val="22"/>
          <w:szCs w:val="22"/>
        </w:rPr>
        <w:t>__</w:t>
      </w:r>
      <w:r>
        <w:rPr>
          <w:rFonts w:hint="eastAsia" w:hAnsi="宋体"/>
          <w:sz w:val="22"/>
          <w:szCs w:val="22"/>
        </w:rPr>
        <w:t>日，向承包方提供</w:t>
      </w:r>
      <w:r>
        <w:rPr>
          <w:rFonts w:hint="eastAsia"/>
          <w:sz w:val="22"/>
          <w:szCs w:val="22"/>
          <w:u w:val="single"/>
        </w:rPr>
        <w:t>一</w:t>
      </w:r>
      <w:r>
        <w:rPr>
          <w:rFonts w:hint="eastAsia" w:hAnsi="宋体"/>
          <w:sz w:val="22"/>
          <w:szCs w:val="22"/>
        </w:rPr>
        <w:t>套图纸。</w:t>
      </w:r>
    </w:p>
    <w:p>
      <w:pPr>
        <w:numPr>
          <w:ilvl w:val="0"/>
          <w:numId w:val="8"/>
        </w:numPr>
        <w:tabs>
          <w:tab w:val="left" w:pos="851"/>
        </w:tabs>
        <w:adjustRightInd w:val="0"/>
        <w:snapToGrid w:val="0"/>
        <w:spacing w:beforeLines="100" w:afterLines="100" w:line="400" w:lineRule="exact"/>
        <w:ind w:left="31680" w:hanging="849" w:hangingChars="386"/>
        <w:jc w:val="left"/>
        <w:rPr>
          <w:rFonts w:hAnsi="宋体"/>
          <w:sz w:val="22"/>
          <w:szCs w:val="22"/>
        </w:rPr>
      </w:pPr>
      <w:r>
        <w:rPr>
          <w:rFonts w:hint="eastAsia" w:hAnsi="宋体"/>
          <w:sz w:val="22"/>
          <w:szCs w:val="22"/>
        </w:rPr>
        <w:t>承包人需要增加图纸套数的，发包人应代为复制，复制费由承包人承担。发包人对工程有保密要求的，应在专用条款中提出保密要求，保密措施费用由发包人承担，承包人在约定保密期内履行保密义务。</w:t>
      </w:r>
    </w:p>
    <w:p>
      <w:pPr>
        <w:numPr>
          <w:ilvl w:val="0"/>
          <w:numId w:val="8"/>
        </w:numPr>
        <w:tabs>
          <w:tab w:val="left" w:pos="851"/>
        </w:tabs>
        <w:adjustRightInd w:val="0"/>
        <w:snapToGrid w:val="0"/>
        <w:spacing w:beforeLines="100" w:afterLines="100" w:line="400" w:lineRule="exact"/>
        <w:ind w:left="31680" w:hanging="849" w:hangingChars="386"/>
        <w:jc w:val="left"/>
        <w:rPr>
          <w:rFonts w:hAnsi="宋体"/>
          <w:sz w:val="22"/>
          <w:szCs w:val="22"/>
        </w:rPr>
      </w:pPr>
      <w:r>
        <w:rPr>
          <w:rFonts w:hint="eastAsia" w:hAnsi="宋体"/>
          <w:sz w:val="22"/>
          <w:szCs w:val="22"/>
        </w:rPr>
        <w:t>承包人未经发包人书面同意，不得将本工程图纸</w:t>
      </w:r>
      <w:r>
        <w:rPr>
          <w:rStyle w:val="8"/>
          <w:rFonts w:hint="eastAsia"/>
          <w:szCs w:val="21"/>
        </w:rPr>
        <w:t>出示、</w:t>
      </w:r>
      <w:r>
        <w:rPr>
          <w:rFonts w:hint="eastAsia" w:hAnsi="宋体"/>
          <w:sz w:val="22"/>
          <w:szCs w:val="22"/>
        </w:rPr>
        <w:t>泄露或以任何其他方式提供给第三人或使第三人知悉。工程质量保修期满后，除承包人存档需要的图纸外，应将全部图纸退还给发包人。</w:t>
      </w:r>
    </w:p>
    <w:p>
      <w:pPr>
        <w:numPr>
          <w:ilvl w:val="0"/>
          <w:numId w:val="8"/>
        </w:numPr>
        <w:tabs>
          <w:tab w:val="left" w:pos="851"/>
        </w:tabs>
        <w:adjustRightInd w:val="0"/>
        <w:snapToGrid w:val="0"/>
        <w:spacing w:beforeLines="100" w:afterLines="100" w:line="400" w:lineRule="exact"/>
        <w:ind w:left="31680" w:hanging="849" w:hangingChars="386"/>
        <w:jc w:val="left"/>
        <w:rPr>
          <w:sz w:val="22"/>
          <w:szCs w:val="22"/>
        </w:rPr>
      </w:pPr>
      <w:r>
        <w:rPr>
          <w:rFonts w:hint="eastAsia" w:hAnsi="宋体"/>
          <w:sz w:val="22"/>
          <w:szCs w:val="22"/>
        </w:rPr>
        <w:t>承包人应在施工现场保留一套完整图纸，供工程师及有关人员进行工程检查时使用。</w:t>
      </w:r>
    </w:p>
    <w:p>
      <w:pPr>
        <w:numPr>
          <w:ilvl w:val="0"/>
          <w:numId w:val="1"/>
        </w:numPr>
        <w:tabs>
          <w:tab w:val="left" w:pos="851"/>
        </w:tabs>
        <w:adjustRightInd w:val="0"/>
        <w:snapToGrid w:val="0"/>
        <w:spacing w:beforeLines="100" w:afterLines="100" w:line="400" w:lineRule="exact"/>
        <w:ind w:left="0" w:firstLine="0"/>
        <w:jc w:val="left"/>
        <w:rPr>
          <w:bCs/>
          <w:sz w:val="22"/>
          <w:szCs w:val="22"/>
        </w:rPr>
      </w:pPr>
      <w:r>
        <w:rPr>
          <w:rFonts w:hint="eastAsia" w:hAnsi="宋体"/>
          <w:bCs/>
          <w:sz w:val="22"/>
          <w:szCs w:val="22"/>
        </w:rPr>
        <w:t>发包方、承包方驻工地代表</w:t>
      </w:r>
    </w:p>
    <w:p>
      <w:pPr>
        <w:adjustRightInd w:val="0"/>
        <w:snapToGrid w:val="0"/>
        <w:spacing w:beforeLines="100" w:afterLines="100" w:line="400" w:lineRule="exact"/>
        <w:jc w:val="left"/>
        <w:rPr>
          <w:rFonts w:ascii="宋体"/>
          <w:color w:val="0000FF"/>
          <w:sz w:val="22"/>
          <w:szCs w:val="22"/>
        </w:rPr>
      </w:pPr>
      <w:r>
        <w:rPr>
          <w:rFonts w:hint="eastAsia" w:hAnsi="宋体"/>
          <w:sz w:val="22"/>
          <w:szCs w:val="22"/>
        </w:rPr>
        <w:t>发包方驻场代表：</w:t>
      </w:r>
      <w:r>
        <w:rPr>
          <w:rFonts w:hint="eastAsia"/>
          <w:color w:val="FF0000"/>
          <w:sz w:val="22"/>
          <w:szCs w:val="22"/>
          <w:u w:val="single"/>
          <w:lang w:val="en-US" w:eastAsia="zh-CN"/>
        </w:rPr>
        <w:t xml:space="preserve">       </w:t>
      </w:r>
      <w:r>
        <w:rPr>
          <w:rFonts w:hint="eastAsia" w:hAnsi="宋体"/>
          <w:sz w:val="22"/>
          <w:szCs w:val="22"/>
        </w:rPr>
        <w:t>；</w:t>
      </w:r>
      <w:r>
        <w:rPr>
          <w:rFonts w:hint="eastAsia" w:ascii="宋体" w:hAnsi="宋体"/>
          <w:color w:val="0000FF"/>
          <w:sz w:val="22"/>
          <w:szCs w:val="22"/>
        </w:rPr>
        <w:t>代表发包方与承包方就该项目的工程施工具体事项进行协商。</w:t>
      </w:r>
    </w:p>
    <w:p>
      <w:pPr>
        <w:tabs>
          <w:tab w:val="left" w:pos="1276"/>
        </w:tabs>
        <w:adjustRightInd w:val="0"/>
        <w:snapToGrid w:val="0"/>
        <w:spacing w:line="400" w:lineRule="exact"/>
        <w:jc w:val="left"/>
        <w:rPr>
          <w:rFonts w:hAnsi="宋体"/>
          <w:sz w:val="22"/>
          <w:szCs w:val="22"/>
        </w:rPr>
      </w:pPr>
      <w:r>
        <w:rPr>
          <w:rFonts w:hint="eastAsia" w:hAnsi="宋体"/>
          <w:sz w:val="22"/>
          <w:szCs w:val="22"/>
        </w:rPr>
        <w:t>承包方驻场代表（项目</w:t>
      </w:r>
      <w:r>
        <w:rPr>
          <w:rFonts w:hint="eastAsia" w:hAnsi="宋体"/>
          <w:sz w:val="22"/>
          <w:szCs w:val="22"/>
          <w:lang w:eastAsia="zh-CN"/>
        </w:rPr>
        <w:t>负责人</w:t>
      </w:r>
      <w:r>
        <w:rPr>
          <w:rFonts w:hint="eastAsia" w:hAnsi="宋体"/>
          <w:sz w:val="22"/>
          <w:szCs w:val="22"/>
        </w:rPr>
        <w:t>）：</w:t>
      </w:r>
      <w:r>
        <w:rPr>
          <w:rFonts w:hint="eastAsia" w:hAnsi="宋体"/>
          <w:sz w:val="22"/>
          <w:szCs w:val="22"/>
          <w:lang w:val="en-US" w:eastAsia="zh-CN"/>
        </w:rPr>
        <w:t xml:space="preserve"> </w:t>
      </w:r>
      <w:r>
        <w:rPr>
          <w:rFonts w:hint="eastAsia" w:hAnsi="宋体"/>
          <w:sz w:val="22"/>
          <w:szCs w:val="22"/>
          <w:u w:val="single"/>
          <w:lang w:val="en-US" w:eastAsia="zh-CN"/>
        </w:rPr>
        <w:t xml:space="preserve">        </w:t>
      </w:r>
      <w:r>
        <w:rPr>
          <w:rFonts w:hint="eastAsia" w:hAnsi="宋体"/>
          <w:sz w:val="22"/>
          <w:szCs w:val="22"/>
        </w:rPr>
        <w:t>。</w:t>
      </w:r>
    </w:p>
    <w:p>
      <w:pPr>
        <w:tabs>
          <w:tab w:val="left" w:pos="1276"/>
        </w:tabs>
        <w:adjustRightInd w:val="0"/>
        <w:snapToGrid w:val="0"/>
        <w:spacing w:line="400" w:lineRule="exact"/>
        <w:jc w:val="left"/>
        <w:rPr>
          <w:sz w:val="22"/>
          <w:szCs w:val="22"/>
        </w:rPr>
      </w:pPr>
      <w:r>
        <w:rPr>
          <w:rFonts w:hint="eastAsia" w:hAnsi="宋体"/>
          <w:sz w:val="22"/>
          <w:szCs w:val="22"/>
        </w:rPr>
        <w:t>项目经理任职条件须符合《广东省住房和城乡建设厅关于加强我省小型工程项目施工管理及明确小型工程项目负责人任职条件的通知》中的相关规定。</w:t>
      </w:r>
    </w:p>
    <w:p>
      <w:pPr>
        <w:numPr>
          <w:ilvl w:val="0"/>
          <w:numId w:val="1"/>
        </w:numPr>
        <w:tabs>
          <w:tab w:val="left" w:pos="851"/>
        </w:tabs>
        <w:adjustRightInd w:val="0"/>
        <w:snapToGrid w:val="0"/>
        <w:spacing w:beforeLines="100" w:afterLines="100" w:line="400" w:lineRule="exact"/>
        <w:ind w:left="0" w:firstLine="0"/>
        <w:jc w:val="left"/>
        <w:rPr>
          <w:sz w:val="22"/>
          <w:szCs w:val="22"/>
        </w:rPr>
      </w:pPr>
      <w:r>
        <w:rPr>
          <w:rFonts w:hint="eastAsia" w:hAnsi="宋体"/>
          <w:bCs/>
          <w:sz w:val="22"/>
          <w:szCs w:val="22"/>
        </w:rPr>
        <w:t>发包方工作</w:t>
      </w:r>
    </w:p>
    <w:p>
      <w:pPr>
        <w:numPr>
          <w:ilvl w:val="0"/>
          <w:numId w:val="9"/>
        </w:numPr>
        <w:tabs>
          <w:tab w:val="left" w:pos="851"/>
        </w:tabs>
        <w:adjustRightInd w:val="0"/>
        <w:snapToGrid w:val="0"/>
        <w:spacing w:beforeLines="100" w:afterLines="100" w:line="400" w:lineRule="exact"/>
        <w:ind w:left="851" w:hanging="851"/>
        <w:jc w:val="left"/>
        <w:rPr>
          <w:rFonts w:hAnsi="宋体"/>
          <w:sz w:val="22"/>
          <w:szCs w:val="22"/>
        </w:rPr>
      </w:pPr>
      <w:r>
        <w:rPr>
          <w:rFonts w:hint="eastAsia" w:hAnsi="宋体"/>
          <w:sz w:val="22"/>
          <w:szCs w:val="22"/>
        </w:rPr>
        <w:t>开工前办理完毕土地征用，青苗、树木赔偿，坟地迁移，房屋、构筑物拆迁，地上及架空、地下障碍物清除，将施工所需水、电线路、道路接通至施工现场，并保证施工期间的需要。</w:t>
      </w:r>
    </w:p>
    <w:p>
      <w:pPr>
        <w:numPr>
          <w:ilvl w:val="0"/>
          <w:numId w:val="9"/>
        </w:numPr>
        <w:tabs>
          <w:tab w:val="left" w:pos="851"/>
        </w:tabs>
        <w:adjustRightInd w:val="0"/>
        <w:snapToGrid w:val="0"/>
        <w:spacing w:beforeLines="100" w:afterLines="100" w:line="400" w:lineRule="exact"/>
        <w:ind w:left="851" w:hanging="851"/>
        <w:jc w:val="left"/>
        <w:rPr>
          <w:rFonts w:hAnsi="宋体"/>
          <w:sz w:val="22"/>
          <w:szCs w:val="22"/>
        </w:rPr>
      </w:pPr>
      <w:r>
        <w:rPr>
          <w:rFonts w:hint="eastAsia" w:hAnsi="宋体"/>
          <w:sz w:val="22"/>
          <w:szCs w:val="22"/>
        </w:rPr>
        <w:t>依照国家、省、市相关规定将有关工程资料报送属地镇、街办理备案手续，取得开工备案证明，领取施工标识牌。</w:t>
      </w:r>
    </w:p>
    <w:p>
      <w:pPr>
        <w:numPr>
          <w:ilvl w:val="0"/>
          <w:numId w:val="9"/>
        </w:numPr>
        <w:tabs>
          <w:tab w:val="left" w:pos="851"/>
        </w:tabs>
        <w:adjustRightInd w:val="0"/>
        <w:snapToGrid w:val="0"/>
        <w:spacing w:beforeLines="100" w:afterLines="100" w:line="400" w:lineRule="exact"/>
        <w:ind w:left="31680" w:hanging="849" w:hangingChars="386"/>
        <w:jc w:val="left"/>
        <w:rPr>
          <w:sz w:val="22"/>
          <w:szCs w:val="22"/>
        </w:rPr>
      </w:pPr>
      <w:r>
        <w:rPr>
          <w:rFonts w:hint="eastAsia" w:hAnsi="宋体"/>
          <w:sz w:val="22"/>
          <w:szCs w:val="22"/>
        </w:rPr>
        <w:t>向承包方提供施工现场工程地质和地下管网线路资料，提交办理有关证件、批件的合法手续，将水准点与坐标控制点</w:t>
      </w:r>
      <w:r>
        <w:rPr>
          <w:rFonts w:hint="eastAsia"/>
          <w:sz w:val="22"/>
          <w:szCs w:val="22"/>
        </w:rPr>
        <w:t>位置以书面形式提交给承包方，并于现场交验。</w:t>
      </w:r>
    </w:p>
    <w:p>
      <w:pPr>
        <w:numPr>
          <w:ilvl w:val="0"/>
          <w:numId w:val="9"/>
        </w:numPr>
        <w:tabs>
          <w:tab w:val="left" w:pos="851"/>
        </w:tabs>
        <w:adjustRightInd w:val="0"/>
        <w:snapToGrid w:val="0"/>
        <w:spacing w:beforeLines="100" w:afterLines="100" w:line="400" w:lineRule="exact"/>
        <w:ind w:left="31680" w:hanging="849" w:hangingChars="386"/>
        <w:jc w:val="left"/>
        <w:rPr>
          <w:sz w:val="22"/>
          <w:szCs w:val="22"/>
        </w:rPr>
      </w:pPr>
      <w:r>
        <w:rPr>
          <w:rFonts w:hint="eastAsia"/>
          <w:sz w:val="22"/>
          <w:szCs w:val="22"/>
        </w:rPr>
        <w:t>办理施工许可证及其他施工所需证件、批件和临时用地、停水、停电、中断道路交通、爆破作业等的申请批准手续（证明承包人自身资质的证件除外）。</w:t>
      </w:r>
    </w:p>
    <w:p>
      <w:pPr>
        <w:numPr>
          <w:ilvl w:val="0"/>
          <w:numId w:val="9"/>
        </w:numPr>
        <w:tabs>
          <w:tab w:val="left" w:pos="851"/>
        </w:tabs>
        <w:adjustRightInd w:val="0"/>
        <w:snapToGrid w:val="0"/>
        <w:spacing w:beforeLines="100" w:afterLines="100" w:line="400" w:lineRule="exact"/>
        <w:ind w:left="31680" w:hanging="849" w:hangingChars="386"/>
        <w:jc w:val="left"/>
        <w:rPr>
          <w:sz w:val="22"/>
          <w:szCs w:val="22"/>
        </w:rPr>
      </w:pPr>
      <w:r>
        <w:rPr>
          <w:rFonts w:hint="eastAsia"/>
          <w:sz w:val="22"/>
          <w:szCs w:val="22"/>
        </w:rPr>
        <w:t>协调、处理施工现场周围建筑物、构筑物</w:t>
      </w:r>
      <w:r>
        <w:rPr>
          <w:sz w:val="22"/>
          <w:szCs w:val="22"/>
        </w:rPr>
        <w:t>(</w:t>
      </w:r>
      <w:r>
        <w:rPr>
          <w:rFonts w:hint="eastAsia"/>
          <w:sz w:val="22"/>
          <w:szCs w:val="22"/>
        </w:rPr>
        <w:t>含文物保护建筑</w:t>
      </w:r>
      <w:r>
        <w:rPr>
          <w:sz w:val="22"/>
          <w:szCs w:val="22"/>
        </w:rPr>
        <w:t>)</w:t>
      </w:r>
      <w:r>
        <w:rPr>
          <w:rFonts w:hint="eastAsia"/>
          <w:sz w:val="22"/>
          <w:szCs w:val="22"/>
        </w:rPr>
        <w:t>、古树名木和地下管线的保护及施工扰民问题，并承担有关费用。</w:t>
      </w:r>
    </w:p>
    <w:p>
      <w:pPr>
        <w:numPr>
          <w:ilvl w:val="0"/>
          <w:numId w:val="9"/>
        </w:numPr>
        <w:tabs>
          <w:tab w:val="left" w:pos="851"/>
        </w:tabs>
        <w:adjustRightInd w:val="0"/>
        <w:snapToGrid w:val="0"/>
        <w:spacing w:beforeLines="100" w:afterLines="100" w:line="400" w:lineRule="exact"/>
        <w:ind w:left="31680" w:hanging="849" w:hangingChars="386"/>
        <w:jc w:val="left"/>
        <w:rPr>
          <w:sz w:val="22"/>
          <w:szCs w:val="22"/>
        </w:rPr>
      </w:pPr>
      <w:r>
        <w:rPr>
          <w:rFonts w:hint="eastAsia"/>
          <w:sz w:val="22"/>
          <w:szCs w:val="22"/>
        </w:rPr>
        <w:t>合同签订后</w:t>
      </w:r>
      <w:r>
        <w:rPr>
          <w:sz w:val="22"/>
          <w:szCs w:val="22"/>
          <w:u w:val="single"/>
        </w:rPr>
        <w:t>2</w:t>
      </w:r>
      <w:r>
        <w:rPr>
          <w:rFonts w:hint="eastAsia"/>
          <w:sz w:val="22"/>
          <w:szCs w:val="22"/>
        </w:rPr>
        <w:t>天内将工程图</w:t>
      </w:r>
      <w:r>
        <w:rPr>
          <w:sz w:val="22"/>
          <w:szCs w:val="22"/>
          <w:u w:val="single"/>
        </w:rPr>
        <w:t>1</w:t>
      </w:r>
      <w:r>
        <w:rPr>
          <w:rFonts w:hint="eastAsia"/>
          <w:sz w:val="22"/>
          <w:szCs w:val="22"/>
        </w:rPr>
        <w:t>份及有关技术资料提供给承包方，并组织设计院、承包方会审图纸和设计交底，在收到承包方提供的施工组织设计</w:t>
      </w:r>
      <w:r>
        <w:rPr>
          <w:sz w:val="22"/>
          <w:szCs w:val="22"/>
        </w:rPr>
        <w:t>(</w:t>
      </w:r>
      <w:r>
        <w:rPr>
          <w:rFonts w:hint="eastAsia"/>
          <w:sz w:val="22"/>
          <w:szCs w:val="22"/>
        </w:rPr>
        <w:t>或施工方案</w:t>
      </w:r>
      <w:r>
        <w:rPr>
          <w:sz w:val="22"/>
          <w:szCs w:val="22"/>
        </w:rPr>
        <w:t>)</w:t>
      </w:r>
      <w:r>
        <w:rPr>
          <w:rFonts w:hint="eastAsia"/>
          <w:sz w:val="22"/>
          <w:szCs w:val="22"/>
        </w:rPr>
        <w:t>和进度计划后</w:t>
      </w:r>
      <w:r>
        <w:rPr>
          <w:sz w:val="22"/>
          <w:szCs w:val="22"/>
          <w:u w:val="single"/>
        </w:rPr>
        <w:t>2</w:t>
      </w:r>
      <w:r>
        <w:rPr>
          <w:rFonts w:hint="eastAsia"/>
          <w:sz w:val="22"/>
          <w:szCs w:val="22"/>
        </w:rPr>
        <w:t>天内予以确认。</w:t>
      </w:r>
    </w:p>
    <w:p>
      <w:pPr>
        <w:numPr>
          <w:ilvl w:val="0"/>
          <w:numId w:val="9"/>
        </w:numPr>
        <w:tabs>
          <w:tab w:val="left" w:pos="851"/>
        </w:tabs>
        <w:adjustRightInd w:val="0"/>
        <w:snapToGrid w:val="0"/>
        <w:spacing w:beforeLines="100" w:afterLines="100" w:line="400" w:lineRule="exact"/>
        <w:ind w:left="31680" w:hanging="849" w:hangingChars="386"/>
        <w:jc w:val="left"/>
        <w:rPr>
          <w:sz w:val="22"/>
          <w:szCs w:val="22"/>
        </w:rPr>
      </w:pPr>
      <w:r>
        <w:rPr>
          <w:rFonts w:hint="eastAsia"/>
          <w:sz w:val="22"/>
          <w:szCs w:val="22"/>
        </w:rPr>
        <w:t>凡在有毒有害环境中施工时，发包方按有关规定提供相应的防护措施，并承担相关的经济支出。</w:t>
      </w:r>
    </w:p>
    <w:p>
      <w:pPr>
        <w:numPr>
          <w:ilvl w:val="0"/>
          <w:numId w:val="9"/>
        </w:numPr>
        <w:tabs>
          <w:tab w:val="left" w:pos="851"/>
        </w:tabs>
        <w:adjustRightInd w:val="0"/>
        <w:snapToGrid w:val="0"/>
        <w:spacing w:beforeLines="100" w:afterLines="100" w:line="400" w:lineRule="exact"/>
        <w:ind w:left="31680" w:hanging="849" w:hangingChars="386"/>
        <w:jc w:val="left"/>
        <w:rPr>
          <w:sz w:val="22"/>
          <w:szCs w:val="22"/>
        </w:rPr>
      </w:pPr>
      <w:r>
        <w:rPr>
          <w:rFonts w:hint="eastAsia"/>
          <w:sz w:val="22"/>
          <w:szCs w:val="22"/>
        </w:rPr>
        <w:t>发包方不按合同约定完成工作造成施工损失，应承担经济责任，工期相应顺延。</w:t>
      </w:r>
    </w:p>
    <w:p>
      <w:pPr>
        <w:numPr>
          <w:ilvl w:val="0"/>
          <w:numId w:val="9"/>
        </w:numPr>
        <w:tabs>
          <w:tab w:val="left" w:pos="851"/>
        </w:tabs>
        <w:adjustRightInd w:val="0"/>
        <w:snapToGrid w:val="0"/>
        <w:spacing w:beforeLines="100" w:afterLines="100" w:line="400" w:lineRule="exact"/>
        <w:ind w:left="31680" w:hanging="849" w:hangingChars="386"/>
        <w:jc w:val="left"/>
        <w:rPr>
          <w:sz w:val="22"/>
          <w:szCs w:val="22"/>
        </w:rPr>
      </w:pPr>
      <w:r>
        <w:rPr>
          <w:rFonts w:hint="eastAsia"/>
          <w:sz w:val="22"/>
          <w:szCs w:val="22"/>
        </w:rPr>
        <w:t>发包人应做的其他工作，双方在专用条款内约定。</w:t>
      </w:r>
    </w:p>
    <w:p>
      <w:pPr>
        <w:numPr>
          <w:ilvl w:val="0"/>
          <w:numId w:val="1"/>
        </w:numPr>
        <w:tabs>
          <w:tab w:val="left" w:pos="851"/>
        </w:tabs>
        <w:adjustRightInd w:val="0"/>
        <w:snapToGrid w:val="0"/>
        <w:spacing w:beforeLines="100" w:afterLines="100" w:line="400" w:lineRule="exact"/>
        <w:ind w:left="0" w:firstLine="0"/>
        <w:jc w:val="left"/>
        <w:rPr>
          <w:bCs/>
          <w:sz w:val="22"/>
          <w:szCs w:val="22"/>
        </w:rPr>
      </w:pPr>
      <w:r>
        <w:rPr>
          <w:rFonts w:hint="eastAsia" w:hAnsi="宋体"/>
          <w:bCs/>
          <w:sz w:val="22"/>
          <w:szCs w:val="22"/>
        </w:rPr>
        <w:t>承包方工作</w:t>
      </w:r>
    </w:p>
    <w:p>
      <w:pPr>
        <w:numPr>
          <w:ilvl w:val="0"/>
          <w:numId w:val="10"/>
        </w:numPr>
        <w:tabs>
          <w:tab w:val="left" w:pos="851"/>
        </w:tabs>
        <w:adjustRightInd w:val="0"/>
        <w:snapToGrid w:val="0"/>
        <w:spacing w:beforeLines="100" w:afterLines="100" w:line="400" w:lineRule="exact"/>
        <w:ind w:left="851" w:hanging="851"/>
        <w:jc w:val="left"/>
        <w:rPr>
          <w:rFonts w:hAnsi="宋体"/>
          <w:sz w:val="22"/>
          <w:szCs w:val="22"/>
        </w:rPr>
      </w:pPr>
      <w:r>
        <w:rPr>
          <w:rFonts w:hint="eastAsia" w:hAnsi="宋体"/>
          <w:sz w:val="22"/>
          <w:szCs w:val="22"/>
        </w:rPr>
        <w:t>建立和保持完善的质量保证体系。工程实施前，根据发包方要求承包方提交质量保证体系实施程序和贯彻质量要求的文件。</w:t>
      </w:r>
    </w:p>
    <w:p>
      <w:pPr>
        <w:numPr>
          <w:ilvl w:val="0"/>
          <w:numId w:val="10"/>
        </w:numPr>
        <w:tabs>
          <w:tab w:val="left" w:pos="851"/>
        </w:tabs>
        <w:adjustRightInd w:val="0"/>
        <w:snapToGrid w:val="0"/>
        <w:spacing w:beforeLines="100" w:afterLines="100" w:line="400" w:lineRule="exact"/>
        <w:ind w:left="851" w:hanging="851"/>
        <w:jc w:val="left"/>
        <w:rPr>
          <w:rFonts w:hAnsi="宋体"/>
          <w:sz w:val="22"/>
          <w:szCs w:val="22"/>
        </w:rPr>
      </w:pPr>
      <w:r>
        <w:rPr>
          <w:rFonts w:hint="eastAsia" w:hAnsi="宋体"/>
          <w:sz w:val="22"/>
          <w:szCs w:val="22"/>
        </w:rPr>
        <w:t>每</w:t>
      </w:r>
      <w:r>
        <w:rPr>
          <w:rFonts w:hAnsi="宋体"/>
          <w:sz w:val="22"/>
          <w:szCs w:val="22"/>
        </w:rPr>
        <w:t>5</w:t>
      </w:r>
      <w:r>
        <w:rPr>
          <w:rFonts w:hint="eastAsia" w:hAnsi="宋体"/>
          <w:sz w:val="22"/>
          <w:szCs w:val="22"/>
        </w:rPr>
        <w:t>日向发包方报送月度施工计划和已完工程进度统计报表，根据发包方要求提交工程事故报告，并提供施工用电、用水计划。</w:t>
      </w:r>
    </w:p>
    <w:p>
      <w:pPr>
        <w:numPr>
          <w:ilvl w:val="0"/>
          <w:numId w:val="10"/>
        </w:numPr>
        <w:tabs>
          <w:tab w:val="left" w:pos="851"/>
        </w:tabs>
        <w:adjustRightInd w:val="0"/>
        <w:snapToGrid w:val="0"/>
        <w:spacing w:beforeLines="100" w:afterLines="100" w:line="400" w:lineRule="exact"/>
        <w:ind w:left="851" w:hanging="851"/>
        <w:jc w:val="left"/>
        <w:rPr>
          <w:rFonts w:hAnsi="宋体"/>
          <w:sz w:val="22"/>
          <w:szCs w:val="22"/>
        </w:rPr>
      </w:pPr>
      <w:r>
        <w:rPr>
          <w:rFonts w:hint="eastAsia" w:hAnsi="宋体"/>
          <w:sz w:val="22"/>
          <w:szCs w:val="22"/>
        </w:rPr>
        <w:t>遵守国家及本市有关部门对施工现场的交通和施工噪音等管理规定，负责安全保卫、清洁卫生等各项工作。</w:t>
      </w:r>
    </w:p>
    <w:p>
      <w:pPr>
        <w:numPr>
          <w:ilvl w:val="0"/>
          <w:numId w:val="10"/>
        </w:numPr>
        <w:tabs>
          <w:tab w:val="left" w:pos="851"/>
        </w:tabs>
        <w:adjustRightInd w:val="0"/>
        <w:snapToGrid w:val="0"/>
        <w:spacing w:beforeLines="100" w:afterLines="100" w:line="400" w:lineRule="exact"/>
        <w:ind w:left="851" w:hanging="851"/>
        <w:jc w:val="left"/>
        <w:rPr>
          <w:rFonts w:hAnsi="宋体"/>
          <w:sz w:val="22"/>
          <w:szCs w:val="22"/>
        </w:rPr>
      </w:pPr>
      <w:r>
        <w:rPr>
          <w:rFonts w:hint="eastAsia" w:hAnsi="宋体"/>
          <w:sz w:val="22"/>
          <w:szCs w:val="22"/>
        </w:rPr>
        <w:t>应建立健全安全防护和文明施工的制度，完善安全防护和文明施工条件，严格按照安全防护和文明施工的规定组织施工，采取必要的安全防护措施，消除事故隐患，自觉接受和配合行政主管部门依法实施的监督检查。</w:t>
      </w:r>
    </w:p>
    <w:p>
      <w:pPr>
        <w:numPr>
          <w:ilvl w:val="0"/>
          <w:numId w:val="10"/>
        </w:numPr>
        <w:tabs>
          <w:tab w:val="left" w:pos="851"/>
        </w:tabs>
        <w:adjustRightInd w:val="0"/>
        <w:snapToGrid w:val="0"/>
        <w:spacing w:beforeLines="100" w:afterLines="100" w:line="400" w:lineRule="exact"/>
        <w:ind w:left="851" w:hanging="851"/>
        <w:jc w:val="left"/>
        <w:rPr>
          <w:rFonts w:hAnsi="宋体"/>
          <w:sz w:val="22"/>
          <w:szCs w:val="22"/>
        </w:rPr>
      </w:pPr>
      <w:r>
        <w:rPr>
          <w:rFonts w:hint="eastAsia" w:hAnsi="宋体"/>
          <w:sz w:val="22"/>
          <w:szCs w:val="22"/>
        </w:rPr>
        <w:t>做好施工现场周围建筑物、构筑物</w:t>
      </w:r>
      <w:r>
        <w:rPr>
          <w:rFonts w:hAnsi="宋体"/>
          <w:sz w:val="22"/>
          <w:szCs w:val="22"/>
        </w:rPr>
        <w:t>(</w:t>
      </w:r>
      <w:r>
        <w:rPr>
          <w:rFonts w:hint="eastAsia" w:hAnsi="宋体"/>
          <w:sz w:val="22"/>
          <w:szCs w:val="22"/>
        </w:rPr>
        <w:t>含文物保护建筑</w:t>
      </w:r>
      <w:r>
        <w:rPr>
          <w:rFonts w:hAnsi="宋体"/>
          <w:sz w:val="22"/>
          <w:szCs w:val="22"/>
        </w:rPr>
        <w:t>)</w:t>
      </w:r>
      <w:r>
        <w:rPr>
          <w:rFonts w:hint="eastAsia" w:hAnsi="宋体"/>
          <w:sz w:val="22"/>
          <w:szCs w:val="22"/>
        </w:rPr>
        <w:t>、古树名木和地下管线的保护。发现地下障碍和文物时，及时报告有关部门并采取有效保护措施，按有关具体规定处置，发包方承担由此发生的费用，延误的工期相应顺延。</w:t>
      </w:r>
    </w:p>
    <w:p>
      <w:pPr>
        <w:numPr>
          <w:ilvl w:val="0"/>
          <w:numId w:val="10"/>
        </w:numPr>
        <w:tabs>
          <w:tab w:val="left" w:pos="851"/>
        </w:tabs>
        <w:adjustRightInd w:val="0"/>
        <w:snapToGrid w:val="0"/>
        <w:spacing w:beforeLines="100" w:afterLines="100" w:line="400" w:lineRule="exact"/>
        <w:ind w:left="851" w:hanging="851"/>
        <w:jc w:val="left"/>
        <w:rPr>
          <w:rFonts w:hAnsi="宋体"/>
          <w:sz w:val="22"/>
          <w:szCs w:val="22"/>
        </w:rPr>
      </w:pPr>
      <w:r>
        <w:rPr>
          <w:rFonts w:hint="eastAsia" w:hAnsi="宋体"/>
          <w:sz w:val="22"/>
          <w:szCs w:val="22"/>
        </w:rPr>
        <w:t>在图纸会审和设计交底后</w:t>
      </w:r>
      <w:r>
        <w:rPr>
          <w:rFonts w:hAnsi="宋体"/>
          <w:sz w:val="22"/>
          <w:szCs w:val="22"/>
          <w:u w:val="single"/>
        </w:rPr>
        <w:t>2</w:t>
      </w:r>
      <w:r>
        <w:rPr>
          <w:rFonts w:hint="eastAsia" w:hAnsi="宋体"/>
          <w:sz w:val="22"/>
          <w:szCs w:val="22"/>
        </w:rPr>
        <w:t>天内向发包方提交施工组织设计</w:t>
      </w:r>
      <w:r>
        <w:rPr>
          <w:rFonts w:hAnsi="宋体"/>
          <w:sz w:val="22"/>
          <w:szCs w:val="22"/>
        </w:rPr>
        <w:t>(</w:t>
      </w:r>
      <w:r>
        <w:rPr>
          <w:rFonts w:hint="eastAsia" w:hAnsi="宋体"/>
          <w:sz w:val="22"/>
          <w:szCs w:val="22"/>
        </w:rPr>
        <w:t>或施工方案</w:t>
      </w:r>
      <w:r>
        <w:rPr>
          <w:rFonts w:hAnsi="宋体"/>
          <w:sz w:val="22"/>
          <w:szCs w:val="22"/>
        </w:rPr>
        <w:t>)</w:t>
      </w:r>
      <w:r>
        <w:rPr>
          <w:rFonts w:hint="eastAsia" w:hAnsi="宋体"/>
          <w:sz w:val="22"/>
          <w:szCs w:val="22"/>
        </w:rPr>
        <w:t>和进度计划，经发包方批准后依照计划组织施工，接受发包方对进度的检查监督。</w:t>
      </w:r>
    </w:p>
    <w:p>
      <w:pPr>
        <w:numPr>
          <w:ilvl w:val="0"/>
          <w:numId w:val="10"/>
        </w:numPr>
        <w:tabs>
          <w:tab w:val="left" w:pos="851"/>
        </w:tabs>
        <w:adjustRightInd w:val="0"/>
        <w:snapToGrid w:val="0"/>
        <w:spacing w:beforeLines="100" w:afterLines="100" w:line="400" w:lineRule="exact"/>
        <w:ind w:left="851" w:hanging="851"/>
        <w:jc w:val="left"/>
        <w:rPr>
          <w:rFonts w:hAnsi="宋体"/>
          <w:sz w:val="22"/>
          <w:szCs w:val="22"/>
        </w:rPr>
      </w:pPr>
      <w:r>
        <w:rPr>
          <w:rFonts w:hint="eastAsia" w:hAnsi="宋体"/>
          <w:sz w:val="22"/>
          <w:szCs w:val="22"/>
        </w:rPr>
        <w:t>负责对验收之前已完工程的成品保护。保护期间发生损坏系承包方责任由承包方负责修复，系发包方提前使用后发生损坏的修理费用由发包方承担。</w:t>
      </w:r>
    </w:p>
    <w:p>
      <w:pPr>
        <w:numPr>
          <w:ilvl w:val="0"/>
          <w:numId w:val="10"/>
        </w:numPr>
        <w:tabs>
          <w:tab w:val="left" w:pos="851"/>
        </w:tabs>
        <w:adjustRightInd w:val="0"/>
        <w:snapToGrid w:val="0"/>
        <w:spacing w:beforeLines="100" w:afterLines="100" w:line="400" w:lineRule="exact"/>
        <w:ind w:left="851" w:hanging="851"/>
        <w:jc w:val="left"/>
        <w:rPr>
          <w:rFonts w:hAnsi="宋体"/>
          <w:sz w:val="22"/>
          <w:szCs w:val="22"/>
        </w:rPr>
      </w:pPr>
      <w:r>
        <w:rPr>
          <w:rFonts w:hint="eastAsia" w:hAnsi="宋体"/>
          <w:sz w:val="22"/>
          <w:szCs w:val="22"/>
        </w:rPr>
        <w:t>承包方不按合同约定完成各项工作时，应承担由此造成的经济损失，工期不予顺延。</w:t>
      </w:r>
    </w:p>
    <w:p>
      <w:pPr>
        <w:numPr>
          <w:ilvl w:val="0"/>
          <w:numId w:val="1"/>
        </w:numPr>
        <w:tabs>
          <w:tab w:val="left" w:pos="851"/>
        </w:tabs>
        <w:adjustRightInd w:val="0"/>
        <w:snapToGrid w:val="0"/>
        <w:spacing w:beforeLines="100" w:afterLines="100" w:line="400" w:lineRule="exact"/>
        <w:ind w:left="0" w:firstLine="0"/>
        <w:jc w:val="left"/>
        <w:rPr>
          <w:sz w:val="22"/>
          <w:szCs w:val="22"/>
        </w:rPr>
      </w:pPr>
      <w:r>
        <w:rPr>
          <w:rFonts w:hint="eastAsia" w:hAnsi="宋体"/>
          <w:bCs/>
          <w:sz w:val="22"/>
          <w:szCs w:val="22"/>
        </w:rPr>
        <w:t>工程质量检查及验收。</w:t>
      </w:r>
    </w:p>
    <w:p>
      <w:pPr>
        <w:numPr>
          <w:ilvl w:val="0"/>
          <w:numId w:val="11"/>
        </w:numPr>
        <w:tabs>
          <w:tab w:val="left" w:pos="851"/>
        </w:tabs>
        <w:adjustRightInd w:val="0"/>
        <w:snapToGrid w:val="0"/>
        <w:spacing w:beforeLines="100" w:afterLines="100" w:line="400" w:lineRule="exact"/>
        <w:ind w:left="851" w:hanging="851"/>
        <w:jc w:val="left"/>
        <w:rPr>
          <w:sz w:val="22"/>
          <w:szCs w:val="22"/>
        </w:rPr>
      </w:pPr>
      <w:r>
        <w:rPr>
          <w:rFonts w:hint="eastAsia" w:hAnsi="宋体"/>
          <w:sz w:val="22"/>
          <w:szCs w:val="22"/>
        </w:rPr>
        <w:t>承包方应认真按照国家颁布的施工验收规范及工程设计图纸要求进行施工，接受发包方监督，质量验收必须达到合格。对不合格的分项工程，</w:t>
      </w:r>
      <w:r>
        <w:rPr>
          <w:rFonts w:hAnsi="宋体"/>
          <w:sz w:val="22"/>
          <w:szCs w:val="22"/>
        </w:rPr>
        <w:t xml:space="preserve"> </w:t>
      </w:r>
      <w:r>
        <w:rPr>
          <w:rFonts w:hint="eastAsia" w:hAnsi="宋体"/>
          <w:sz w:val="22"/>
          <w:szCs w:val="22"/>
        </w:rPr>
        <w:t>承包方应按规范要求，承担返修工作及费用。因发包方原因或其他非承包方原因引起的经济支出由发包方承担。如发包方要求优良工程，其增加费用双方商定纳入补充条款。</w:t>
      </w:r>
    </w:p>
    <w:p>
      <w:pPr>
        <w:numPr>
          <w:ilvl w:val="0"/>
          <w:numId w:val="11"/>
        </w:numPr>
        <w:tabs>
          <w:tab w:val="left" w:pos="851"/>
        </w:tabs>
        <w:adjustRightInd w:val="0"/>
        <w:snapToGrid w:val="0"/>
        <w:spacing w:beforeLines="100" w:afterLines="100" w:line="400" w:lineRule="exact"/>
        <w:ind w:left="851" w:hanging="851"/>
        <w:jc w:val="left"/>
        <w:rPr>
          <w:sz w:val="22"/>
          <w:szCs w:val="22"/>
        </w:rPr>
      </w:pPr>
      <w:r>
        <w:rPr>
          <w:rFonts w:hint="eastAsia"/>
          <w:sz w:val="22"/>
          <w:szCs w:val="22"/>
        </w:rPr>
        <w:t>隐蔽工程验收。当工程具备覆盖、掩盖条件或达到中间验收部位以前，承包方自检，并于</w:t>
      </w:r>
      <w:r>
        <w:rPr>
          <w:sz w:val="22"/>
          <w:szCs w:val="22"/>
        </w:rPr>
        <w:t>48</w:t>
      </w:r>
      <w:r>
        <w:rPr>
          <w:rFonts w:hint="eastAsia"/>
          <w:sz w:val="22"/>
          <w:szCs w:val="22"/>
        </w:rPr>
        <w:t>小时前以书面形式通知发包方参加，验收合格，发包方在验收记录上签字后，方可进行隐蔽和继续施工。工程质量符合规范要求，发包方不在验收记录签字，可视为发包方已经批准，承包方可进行隐蔽或继续施工。验收不合格，承包方在限定时间内修改后重新验收。因发包方不正确纠正或其它非承包方原因引起的经济支出，由发包方承担。检验不应影响施工正常进行，如影响施工正常进行，检验不合格，影响正常施工的费用由承包方承担。除此之外影响正常施工的经济支出由发包方承担，相应顺延工期。</w:t>
      </w:r>
    </w:p>
    <w:p>
      <w:pPr>
        <w:numPr>
          <w:ilvl w:val="0"/>
          <w:numId w:val="11"/>
        </w:numPr>
        <w:tabs>
          <w:tab w:val="left" w:pos="851"/>
        </w:tabs>
        <w:adjustRightInd w:val="0"/>
        <w:snapToGrid w:val="0"/>
        <w:spacing w:beforeLines="100" w:afterLines="100" w:line="400" w:lineRule="exact"/>
        <w:ind w:left="31680" w:hanging="849" w:hangingChars="386"/>
        <w:jc w:val="left"/>
        <w:rPr>
          <w:sz w:val="22"/>
          <w:szCs w:val="22"/>
        </w:rPr>
      </w:pPr>
      <w:r>
        <w:rPr>
          <w:rFonts w:hint="eastAsia"/>
          <w:sz w:val="22"/>
          <w:szCs w:val="22"/>
        </w:rPr>
        <w:t>工程具备竣工验收条件，承包方按国家和本市工程竣工有关规定，向发包方提供完整竣工资料和竣工验收报告，发包方</w:t>
      </w:r>
      <w:r>
        <w:rPr>
          <w:sz w:val="22"/>
          <w:szCs w:val="22"/>
        </w:rPr>
        <w:t>10</w:t>
      </w:r>
      <w:r>
        <w:rPr>
          <w:rFonts w:hint="eastAsia"/>
          <w:sz w:val="22"/>
          <w:szCs w:val="22"/>
        </w:rPr>
        <w:t>天内组织验收。发包方不能按约定日期组织验收，应从约定期限最后一天的次日起承担工程保管责任及应支付的费用。</w:t>
      </w:r>
    </w:p>
    <w:p>
      <w:pPr>
        <w:numPr>
          <w:ilvl w:val="0"/>
          <w:numId w:val="11"/>
        </w:numPr>
        <w:tabs>
          <w:tab w:val="left" w:pos="851"/>
        </w:tabs>
        <w:adjustRightInd w:val="0"/>
        <w:snapToGrid w:val="0"/>
        <w:spacing w:beforeLines="100" w:afterLines="100" w:line="400" w:lineRule="exact"/>
        <w:ind w:left="31680" w:hanging="849" w:hangingChars="386"/>
        <w:jc w:val="left"/>
        <w:rPr>
          <w:sz w:val="22"/>
          <w:szCs w:val="22"/>
        </w:rPr>
      </w:pPr>
      <w:r>
        <w:rPr>
          <w:rFonts w:hint="eastAsia"/>
          <w:sz w:val="22"/>
          <w:szCs w:val="22"/>
        </w:rPr>
        <w:t>发包方、承包方办理工程竣工验收手续后，如需办理备案的，发包方于</w:t>
      </w:r>
      <w:r>
        <w:rPr>
          <w:sz w:val="22"/>
          <w:szCs w:val="22"/>
        </w:rPr>
        <w:t>5</w:t>
      </w:r>
      <w:r>
        <w:rPr>
          <w:rFonts w:hint="eastAsia"/>
          <w:sz w:val="22"/>
          <w:szCs w:val="22"/>
        </w:rPr>
        <w:t>日内按有关规定向质量监督机构申报竣工工程质量备案，待双方完成合同约定的义务后，本合同即告终止。</w:t>
      </w:r>
    </w:p>
    <w:p>
      <w:pPr>
        <w:numPr>
          <w:ilvl w:val="0"/>
          <w:numId w:val="11"/>
        </w:numPr>
        <w:tabs>
          <w:tab w:val="left" w:pos="851"/>
        </w:tabs>
        <w:adjustRightInd w:val="0"/>
        <w:snapToGrid w:val="0"/>
        <w:spacing w:beforeLines="100" w:afterLines="100" w:line="400" w:lineRule="exact"/>
        <w:ind w:left="31680" w:hanging="849" w:hangingChars="386"/>
        <w:jc w:val="left"/>
        <w:rPr>
          <w:sz w:val="22"/>
          <w:szCs w:val="22"/>
        </w:rPr>
      </w:pPr>
      <w:r>
        <w:rPr>
          <w:rFonts w:hint="eastAsia"/>
          <w:sz w:val="22"/>
          <w:szCs w:val="22"/>
        </w:rPr>
        <w:t>承包方应按法律、行政法规或国家关于工程质量保修的有关规定，对交付发包方使用的工程在质量保修期内承担质量保修责任。</w:t>
      </w:r>
    </w:p>
    <w:p>
      <w:pPr>
        <w:numPr>
          <w:ilvl w:val="0"/>
          <w:numId w:val="1"/>
        </w:numPr>
        <w:tabs>
          <w:tab w:val="left" w:pos="851"/>
        </w:tabs>
        <w:adjustRightInd w:val="0"/>
        <w:snapToGrid w:val="0"/>
        <w:spacing w:beforeLines="100" w:afterLines="100" w:line="400" w:lineRule="exact"/>
        <w:ind w:left="0" w:firstLine="0"/>
        <w:jc w:val="left"/>
        <w:rPr>
          <w:sz w:val="22"/>
          <w:szCs w:val="22"/>
        </w:rPr>
      </w:pPr>
      <w:r>
        <w:rPr>
          <w:rFonts w:hint="eastAsia" w:hAnsi="宋体"/>
          <w:bCs/>
          <w:sz w:val="22"/>
          <w:szCs w:val="22"/>
        </w:rPr>
        <w:t>设计变更</w:t>
      </w:r>
    </w:p>
    <w:p>
      <w:pPr>
        <w:numPr>
          <w:ilvl w:val="0"/>
          <w:numId w:val="12"/>
        </w:numPr>
        <w:tabs>
          <w:tab w:val="left" w:pos="851"/>
        </w:tabs>
        <w:adjustRightInd w:val="0"/>
        <w:snapToGrid w:val="0"/>
        <w:spacing w:beforeLines="100" w:afterLines="100" w:line="400" w:lineRule="exact"/>
        <w:ind w:left="851" w:hanging="851"/>
        <w:jc w:val="left"/>
        <w:rPr>
          <w:sz w:val="22"/>
          <w:szCs w:val="22"/>
        </w:rPr>
      </w:pPr>
      <w:r>
        <w:rPr>
          <w:rFonts w:hint="eastAsia" w:hAnsi="宋体"/>
          <w:sz w:val="22"/>
          <w:szCs w:val="22"/>
        </w:rPr>
        <w:t>施工中如需要设计变更，须由发包方取得以下批准：超过原设计标准和规模时，经原设计和规划审查部门批准，送原设计单位审查后，取得相应图纸和说明。施工中的非设计变更，承包方应报经发包方审核批准。</w:t>
      </w:r>
      <w:r>
        <w:rPr>
          <w:rFonts w:hAnsi="宋体"/>
          <w:sz w:val="22"/>
          <w:szCs w:val="22"/>
        </w:rPr>
        <w:t xml:space="preserve"> </w:t>
      </w:r>
    </w:p>
    <w:p>
      <w:pPr>
        <w:numPr>
          <w:ilvl w:val="0"/>
          <w:numId w:val="12"/>
        </w:numPr>
        <w:tabs>
          <w:tab w:val="left" w:pos="851"/>
        </w:tabs>
        <w:adjustRightInd w:val="0"/>
        <w:snapToGrid w:val="0"/>
        <w:spacing w:beforeLines="100" w:afterLines="100" w:line="400" w:lineRule="exact"/>
        <w:ind w:left="851" w:hanging="851"/>
        <w:jc w:val="left"/>
        <w:rPr>
          <w:sz w:val="22"/>
          <w:szCs w:val="22"/>
        </w:rPr>
      </w:pPr>
      <w:r>
        <w:rPr>
          <w:rFonts w:hint="eastAsia" w:hAnsi="宋体"/>
          <w:sz w:val="22"/>
          <w:szCs w:val="22"/>
        </w:rPr>
        <w:t>承包方对原设计进行变更</w:t>
      </w:r>
      <w:r>
        <w:rPr>
          <w:rFonts w:hint="eastAsia"/>
          <w:sz w:val="22"/>
          <w:szCs w:val="22"/>
        </w:rPr>
        <w:t>，须经发包方同意。发包方对原设计进行变更，须提前天向承包方发出正式变更通知，承包方按通知进行变更。</w:t>
      </w:r>
    </w:p>
    <w:p>
      <w:pPr>
        <w:numPr>
          <w:ilvl w:val="0"/>
          <w:numId w:val="12"/>
        </w:numPr>
        <w:tabs>
          <w:tab w:val="left" w:pos="851"/>
        </w:tabs>
        <w:adjustRightInd w:val="0"/>
        <w:snapToGrid w:val="0"/>
        <w:spacing w:beforeLines="100" w:afterLines="100" w:line="400" w:lineRule="exact"/>
        <w:ind w:left="851" w:hanging="851"/>
        <w:jc w:val="left"/>
        <w:rPr>
          <w:sz w:val="22"/>
          <w:szCs w:val="22"/>
        </w:rPr>
      </w:pPr>
      <w:r>
        <w:rPr>
          <w:rFonts w:hint="eastAsia"/>
          <w:sz w:val="22"/>
          <w:szCs w:val="22"/>
        </w:rPr>
        <w:t>由于设计变更导致的经济支出，除本合同另有规定外，由双方以补充协议方式予以明确。</w:t>
      </w:r>
    </w:p>
    <w:p>
      <w:pPr>
        <w:numPr>
          <w:ilvl w:val="0"/>
          <w:numId w:val="1"/>
        </w:numPr>
        <w:tabs>
          <w:tab w:val="left" w:pos="851"/>
        </w:tabs>
        <w:adjustRightInd w:val="0"/>
        <w:snapToGrid w:val="0"/>
        <w:spacing w:beforeLines="100" w:afterLines="100" w:line="400" w:lineRule="exact"/>
        <w:ind w:left="0" w:firstLine="0"/>
        <w:jc w:val="left"/>
        <w:rPr>
          <w:sz w:val="22"/>
          <w:szCs w:val="22"/>
        </w:rPr>
      </w:pPr>
      <w:r>
        <w:rPr>
          <w:rFonts w:hint="eastAsia"/>
          <w:sz w:val="22"/>
          <w:szCs w:val="22"/>
        </w:rPr>
        <w:t>现场签证</w:t>
      </w:r>
    </w:p>
    <w:p>
      <w:pPr>
        <w:numPr>
          <w:ilvl w:val="0"/>
          <w:numId w:val="13"/>
        </w:numPr>
        <w:tabs>
          <w:tab w:val="left" w:pos="851"/>
        </w:tabs>
        <w:adjustRightInd w:val="0"/>
        <w:snapToGrid w:val="0"/>
        <w:spacing w:beforeLines="100" w:afterLines="100" w:line="400" w:lineRule="exact"/>
        <w:ind w:left="851" w:hanging="851"/>
        <w:jc w:val="left"/>
        <w:rPr>
          <w:sz w:val="22"/>
          <w:szCs w:val="22"/>
        </w:rPr>
      </w:pPr>
      <w:r>
        <w:rPr>
          <w:rFonts w:hint="eastAsia"/>
          <w:sz w:val="22"/>
          <w:szCs w:val="22"/>
        </w:rPr>
        <w:t>现场签证是指合同双方当事人就施工过程中涉及的责任事故所作的签认证明。</w:t>
      </w:r>
    </w:p>
    <w:p>
      <w:pPr>
        <w:numPr>
          <w:ilvl w:val="0"/>
          <w:numId w:val="13"/>
        </w:numPr>
        <w:tabs>
          <w:tab w:val="left" w:pos="851"/>
        </w:tabs>
        <w:adjustRightInd w:val="0"/>
        <w:snapToGrid w:val="0"/>
        <w:spacing w:beforeLines="100" w:afterLines="100" w:line="400" w:lineRule="exact"/>
        <w:ind w:left="851" w:hanging="851"/>
        <w:jc w:val="left"/>
        <w:rPr>
          <w:sz w:val="22"/>
          <w:szCs w:val="22"/>
        </w:rPr>
      </w:pPr>
      <w:r>
        <w:rPr>
          <w:rFonts w:hint="eastAsia"/>
          <w:sz w:val="22"/>
          <w:szCs w:val="22"/>
        </w:rPr>
        <w:t>承包方应发包方要求完成合同以外的零星项目工作的，承包方应及时向发包方提出现场签证的要求，并提交现场签证报告。发包方在收到承包方的现场签证报告后</w:t>
      </w:r>
      <w:r>
        <w:rPr>
          <w:sz w:val="22"/>
          <w:szCs w:val="22"/>
          <w:u w:val="single"/>
        </w:rPr>
        <w:t>3</w:t>
      </w:r>
      <w:r>
        <w:rPr>
          <w:rFonts w:hint="eastAsia"/>
          <w:sz w:val="22"/>
          <w:szCs w:val="22"/>
        </w:rPr>
        <w:t>日内予以核实进行确认或提出修改意见。发包方在收到承包方现场签证报告后</w:t>
      </w:r>
      <w:r>
        <w:rPr>
          <w:sz w:val="22"/>
          <w:szCs w:val="22"/>
          <w:u w:val="single"/>
        </w:rPr>
        <w:t>3</w:t>
      </w:r>
      <w:r>
        <w:rPr>
          <w:rFonts w:hint="eastAsia"/>
          <w:sz w:val="22"/>
          <w:szCs w:val="22"/>
        </w:rPr>
        <w:t>日内未确认也未提出修改意见的，视为承包方提交的现场签证报告已被认可。承包方未经发包方同意变更工程的，承包方无权要求增加费用；发包方有权要求承包方按照原设计方案重新施工，所发生的费用由承包方承担。</w:t>
      </w:r>
    </w:p>
    <w:p>
      <w:pPr>
        <w:numPr>
          <w:ilvl w:val="0"/>
          <w:numId w:val="13"/>
        </w:numPr>
        <w:tabs>
          <w:tab w:val="left" w:pos="851"/>
        </w:tabs>
        <w:adjustRightInd w:val="0"/>
        <w:snapToGrid w:val="0"/>
        <w:spacing w:beforeLines="100" w:afterLines="100" w:line="400" w:lineRule="exact"/>
        <w:ind w:left="851" w:hanging="851"/>
        <w:jc w:val="left"/>
        <w:rPr>
          <w:sz w:val="22"/>
          <w:szCs w:val="22"/>
        </w:rPr>
      </w:pPr>
      <w:r>
        <w:rPr>
          <w:rFonts w:hint="eastAsia"/>
          <w:sz w:val="22"/>
          <w:szCs w:val="22"/>
        </w:rPr>
        <w:t>承包方应在发包方确认现场签证报告后</w:t>
      </w:r>
      <w:r>
        <w:rPr>
          <w:sz w:val="22"/>
          <w:szCs w:val="22"/>
        </w:rPr>
        <w:t>48</w:t>
      </w:r>
      <w:r>
        <w:rPr>
          <w:rFonts w:hint="eastAsia"/>
          <w:sz w:val="22"/>
          <w:szCs w:val="22"/>
        </w:rPr>
        <w:t>小时内及时组织实施相关工作。否则，由此引起的损失和（或）延误的工期由承包方承担。</w:t>
      </w:r>
    </w:p>
    <w:p>
      <w:pPr>
        <w:numPr>
          <w:ilvl w:val="0"/>
          <w:numId w:val="13"/>
        </w:numPr>
        <w:tabs>
          <w:tab w:val="left" w:pos="851"/>
        </w:tabs>
        <w:adjustRightInd w:val="0"/>
        <w:snapToGrid w:val="0"/>
        <w:spacing w:beforeLines="100" w:afterLines="100" w:line="400" w:lineRule="exact"/>
        <w:ind w:left="851" w:hanging="851"/>
        <w:jc w:val="left"/>
        <w:rPr>
          <w:sz w:val="22"/>
          <w:szCs w:val="22"/>
        </w:rPr>
      </w:pPr>
      <w:r>
        <w:rPr>
          <w:rFonts w:hint="eastAsia"/>
          <w:sz w:val="22"/>
          <w:szCs w:val="22"/>
        </w:rPr>
        <w:t>合同工程发生现场签证事件，未经发包方签证确认，承包方便擅自实施相关工作的，除非征得发包方同意，否则发生的费用由承包方承担。</w:t>
      </w:r>
    </w:p>
    <w:p>
      <w:pPr>
        <w:numPr>
          <w:ilvl w:val="0"/>
          <w:numId w:val="13"/>
        </w:numPr>
        <w:tabs>
          <w:tab w:val="left" w:pos="851"/>
        </w:tabs>
        <w:adjustRightInd w:val="0"/>
        <w:snapToGrid w:val="0"/>
        <w:spacing w:beforeLines="100" w:afterLines="100" w:line="400" w:lineRule="exact"/>
        <w:ind w:left="851" w:hanging="851"/>
        <w:jc w:val="left"/>
        <w:rPr>
          <w:sz w:val="22"/>
          <w:szCs w:val="22"/>
        </w:rPr>
      </w:pPr>
      <w:r>
        <w:rPr>
          <w:rFonts w:hint="eastAsia"/>
          <w:sz w:val="22"/>
          <w:szCs w:val="22"/>
        </w:rPr>
        <w:t>现场签证工作完成后的</w:t>
      </w:r>
      <w:r>
        <w:rPr>
          <w:sz w:val="22"/>
          <w:szCs w:val="22"/>
        </w:rPr>
        <w:t>48</w:t>
      </w:r>
      <w:r>
        <w:rPr>
          <w:rFonts w:hint="eastAsia"/>
          <w:sz w:val="22"/>
          <w:szCs w:val="22"/>
        </w:rPr>
        <w:t>小时内，合同双方应确认由此引起调整的合同价款，以作为追加或减少合同价款的依据。</w:t>
      </w:r>
    </w:p>
    <w:p>
      <w:pPr>
        <w:numPr>
          <w:ilvl w:val="0"/>
          <w:numId w:val="1"/>
        </w:numPr>
        <w:tabs>
          <w:tab w:val="left" w:pos="851"/>
        </w:tabs>
        <w:adjustRightInd w:val="0"/>
        <w:snapToGrid w:val="0"/>
        <w:spacing w:beforeLines="100" w:afterLines="100" w:line="400" w:lineRule="exact"/>
        <w:ind w:left="0" w:firstLine="0"/>
        <w:jc w:val="left"/>
        <w:rPr>
          <w:sz w:val="22"/>
          <w:szCs w:val="22"/>
        </w:rPr>
      </w:pPr>
      <w:r>
        <w:rPr>
          <w:rFonts w:hint="eastAsia" w:hAnsi="宋体"/>
          <w:bCs/>
          <w:sz w:val="22"/>
          <w:szCs w:val="22"/>
        </w:rPr>
        <w:t>进度款支付及结算</w:t>
      </w:r>
    </w:p>
    <w:p>
      <w:pPr>
        <w:tabs>
          <w:tab w:val="left" w:pos="851"/>
        </w:tabs>
        <w:adjustRightInd w:val="0"/>
        <w:snapToGrid w:val="0"/>
        <w:spacing w:beforeLines="100" w:afterLines="100" w:line="400" w:lineRule="exact"/>
        <w:jc w:val="left"/>
        <w:rPr>
          <w:sz w:val="22"/>
          <w:szCs w:val="22"/>
        </w:rPr>
      </w:pPr>
      <w:r>
        <w:rPr>
          <w:rFonts w:hint="eastAsia" w:hAnsi="宋体"/>
          <w:sz w:val="22"/>
          <w:szCs w:val="22"/>
        </w:rPr>
        <w:t>双方按国家和本市有关主管部门关于进度款拨付方法的现行规定，在合同生效后，发包方按下表约定分</w:t>
      </w:r>
      <w:r>
        <w:rPr>
          <w:sz w:val="22"/>
          <w:szCs w:val="22"/>
          <w:u w:val="single"/>
        </w:rPr>
        <w:t>4</w:t>
      </w:r>
      <w:r>
        <w:rPr>
          <w:rFonts w:hint="eastAsia" w:hAnsi="宋体"/>
          <w:sz w:val="22"/>
          <w:szCs w:val="22"/>
        </w:rPr>
        <w:t>次向承包方预付或支付进度款，发包方不按时拨付进度款，从应付之日起需承担以银行同期贷款利率</w:t>
      </w:r>
      <w:r>
        <w:rPr>
          <w:rFonts w:hAnsi="宋体"/>
          <w:sz w:val="22"/>
          <w:szCs w:val="22"/>
        </w:rPr>
        <w:t>2</w:t>
      </w:r>
      <w:r>
        <w:rPr>
          <w:rFonts w:hint="eastAsia" w:hAnsi="宋体"/>
          <w:sz w:val="22"/>
          <w:szCs w:val="22"/>
        </w:rPr>
        <w:t>倍的利息作为违约金。</w:t>
      </w:r>
    </w:p>
    <w:tbl>
      <w:tblPr>
        <w:tblStyle w:val="9"/>
        <w:tblW w:w="9173" w:type="dxa"/>
        <w:jc w:val="center"/>
        <w:tblInd w:w="-5" w:type="dxa"/>
        <w:tblLayout w:type="fixed"/>
        <w:tblCellMar>
          <w:top w:w="0" w:type="dxa"/>
          <w:left w:w="0" w:type="dxa"/>
          <w:bottom w:w="0" w:type="dxa"/>
          <w:right w:w="0" w:type="dxa"/>
        </w:tblCellMar>
      </w:tblPr>
      <w:tblGrid>
        <w:gridCol w:w="4364"/>
        <w:gridCol w:w="1656"/>
        <w:gridCol w:w="3153"/>
      </w:tblGrid>
      <w:tr>
        <w:tblPrEx>
          <w:tblLayout w:type="fixed"/>
          <w:tblCellMar>
            <w:top w:w="0" w:type="dxa"/>
            <w:left w:w="0" w:type="dxa"/>
            <w:bottom w:w="0" w:type="dxa"/>
            <w:right w:w="0" w:type="dxa"/>
          </w:tblCellMar>
        </w:tblPrEx>
        <w:trPr>
          <w:trHeight w:val="756" w:hRule="atLeast"/>
          <w:jc w:val="center"/>
        </w:trPr>
        <w:tc>
          <w:tcPr>
            <w:tcW w:w="43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sz w:val="22"/>
                <w:szCs w:val="22"/>
              </w:rPr>
            </w:pPr>
            <w:r>
              <w:rPr>
                <w:rFonts w:hint="eastAsia" w:hAnsi="宋体"/>
                <w:sz w:val="22"/>
                <w:szCs w:val="22"/>
              </w:rPr>
              <w:t>拨付工程款时间</w:t>
            </w:r>
          </w:p>
          <w:p>
            <w:pPr>
              <w:adjustRightInd w:val="0"/>
              <w:snapToGrid w:val="0"/>
              <w:spacing w:line="400" w:lineRule="exact"/>
              <w:jc w:val="center"/>
              <w:rPr>
                <w:color w:val="000000"/>
                <w:sz w:val="22"/>
                <w:szCs w:val="22"/>
              </w:rPr>
            </w:pPr>
            <w:r>
              <w:rPr>
                <w:sz w:val="22"/>
                <w:szCs w:val="22"/>
              </w:rPr>
              <w:t>(</w:t>
            </w:r>
            <w:r>
              <w:rPr>
                <w:rFonts w:hint="eastAsia" w:hAnsi="宋体"/>
                <w:sz w:val="22"/>
                <w:szCs w:val="22"/>
              </w:rPr>
              <w:t>工程进度</w:t>
            </w:r>
            <w:r>
              <w:rPr>
                <w:sz w:val="22"/>
                <w:szCs w:val="22"/>
              </w:rPr>
              <w:t>)</w:t>
            </w:r>
          </w:p>
        </w:tc>
        <w:tc>
          <w:tcPr>
            <w:tcW w:w="1656" w:type="dxa"/>
            <w:tcBorders>
              <w:top w:val="single" w:color="auto" w:sz="4" w:space="0"/>
              <w:left w:val="nil"/>
              <w:bottom w:val="single" w:color="auto" w:sz="4" w:space="0"/>
              <w:right w:val="single" w:color="auto" w:sz="4" w:space="0"/>
            </w:tcBorders>
            <w:vAlign w:val="center"/>
          </w:tcPr>
          <w:p>
            <w:pPr>
              <w:adjustRightInd w:val="0"/>
              <w:snapToGrid w:val="0"/>
              <w:spacing w:line="400" w:lineRule="exact"/>
              <w:jc w:val="center"/>
              <w:rPr>
                <w:sz w:val="22"/>
                <w:szCs w:val="22"/>
              </w:rPr>
            </w:pPr>
            <w:r>
              <w:rPr>
                <w:rFonts w:hint="eastAsia" w:hAnsi="宋体"/>
                <w:sz w:val="22"/>
                <w:szCs w:val="22"/>
              </w:rPr>
              <w:t>占合同承包造价</w:t>
            </w:r>
          </w:p>
          <w:p>
            <w:pPr>
              <w:adjustRightInd w:val="0"/>
              <w:snapToGrid w:val="0"/>
              <w:spacing w:line="400" w:lineRule="exact"/>
              <w:jc w:val="center"/>
              <w:rPr>
                <w:color w:val="000000"/>
                <w:sz w:val="22"/>
                <w:szCs w:val="22"/>
              </w:rPr>
            </w:pPr>
            <w:r>
              <w:rPr>
                <w:rFonts w:hint="eastAsia" w:hAnsi="宋体"/>
                <w:sz w:val="22"/>
                <w:szCs w:val="22"/>
              </w:rPr>
              <w:t>百分比</w:t>
            </w:r>
          </w:p>
        </w:tc>
        <w:tc>
          <w:tcPr>
            <w:tcW w:w="3153" w:type="dxa"/>
            <w:tcBorders>
              <w:top w:val="single" w:color="auto" w:sz="4" w:space="0"/>
              <w:left w:val="nil"/>
              <w:bottom w:val="single" w:color="auto" w:sz="4" w:space="0"/>
              <w:right w:val="single" w:color="auto" w:sz="4" w:space="0"/>
            </w:tcBorders>
            <w:vAlign w:val="center"/>
          </w:tcPr>
          <w:p>
            <w:pPr>
              <w:adjustRightInd w:val="0"/>
              <w:snapToGrid w:val="0"/>
              <w:spacing w:line="400" w:lineRule="exact"/>
              <w:jc w:val="center"/>
              <w:rPr>
                <w:sz w:val="22"/>
                <w:szCs w:val="22"/>
              </w:rPr>
            </w:pPr>
            <w:r>
              <w:rPr>
                <w:rFonts w:hint="eastAsia" w:hAnsi="宋体"/>
                <w:sz w:val="22"/>
                <w:szCs w:val="22"/>
              </w:rPr>
              <w:t>金额（预估）</w:t>
            </w:r>
          </w:p>
          <w:p>
            <w:pPr>
              <w:adjustRightInd w:val="0"/>
              <w:snapToGrid w:val="0"/>
              <w:spacing w:line="400" w:lineRule="exact"/>
              <w:jc w:val="center"/>
              <w:rPr>
                <w:color w:val="000000"/>
                <w:sz w:val="22"/>
                <w:szCs w:val="22"/>
              </w:rPr>
            </w:pPr>
            <w:r>
              <w:rPr>
                <w:rFonts w:hint="eastAsia" w:hAnsi="宋体"/>
                <w:sz w:val="22"/>
                <w:szCs w:val="22"/>
              </w:rPr>
              <w:t>人民币（元）</w:t>
            </w:r>
          </w:p>
        </w:tc>
      </w:tr>
      <w:tr>
        <w:tblPrEx>
          <w:tblLayout w:type="fixed"/>
          <w:tblCellMar>
            <w:top w:w="0" w:type="dxa"/>
            <w:left w:w="0" w:type="dxa"/>
            <w:bottom w:w="0" w:type="dxa"/>
            <w:right w:w="0" w:type="dxa"/>
          </w:tblCellMar>
        </w:tblPrEx>
        <w:trPr>
          <w:trHeight w:val="710" w:hRule="atLeast"/>
          <w:jc w:val="center"/>
        </w:trPr>
        <w:tc>
          <w:tcPr>
            <w:tcW w:w="43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left"/>
              <w:rPr>
                <w:color w:val="0000FF"/>
                <w:sz w:val="22"/>
                <w:szCs w:val="22"/>
              </w:rPr>
            </w:pPr>
            <w:r>
              <w:rPr>
                <w:rFonts w:hint="eastAsia"/>
                <w:color w:val="0000FF"/>
                <w:sz w:val="24"/>
              </w:rPr>
              <w:t>合同总价为</w:t>
            </w:r>
            <w:r>
              <w:rPr>
                <w:rFonts w:hint="eastAsia"/>
                <w:color w:val="0000FF"/>
                <w:sz w:val="24"/>
                <w:u w:val="single"/>
                <w:lang w:val="en-US" w:eastAsia="zh-CN"/>
              </w:rPr>
              <w:t xml:space="preserve">               </w:t>
            </w:r>
            <w:r>
              <w:rPr>
                <w:rFonts w:hint="eastAsia" w:ascii="宋体" w:hAnsi="宋体"/>
                <w:color w:val="FF0000"/>
                <w:sz w:val="24"/>
                <w:u w:val="single"/>
              </w:rPr>
              <w:t>元</w:t>
            </w:r>
          </w:p>
        </w:tc>
        <w:tc>
          <w:tcPr>
            <w:tcW w:w="1656" w:type="dxa"/>
            <w:tcBorders>
              <w:top w:val="single" w:color="auto" w:sz="4" w:space="0"/>
              <w:left w:val="nil"/>
              <w:bottom w:val="single" w:color="auto" w:sz="4" w:space="0"/>
              <w:right w:val="single" w:color="auto" w:sz="4" w:space="0"/>
            </w:tcBorders>
            <w:vAlign w:val="center"/>
          </w:tcPr>
          <w:p>
            <w:pPr>
              <w:adjustRightInd w:val="0"/>
              <w:snapToGrid w:val="0"/>
              <w:spacing w:line="400" w:lineRule="exact"/>
              <w:jc w:val="center"/>
              <w:rPr>
                <w:color w:val="0000FF"/>
                <w:sz w:val="22"/>
                <w:szCs w:val="22"/>
              </w:rPr>
            </w:pPr>
          </w:p>
        </w:tc>
        <w:tc>
          <w:tcPr>
            <w:tcW w:w="3153" w:type="dxa"/>
            <w:tcBorders>
              <w:top w:val="single" w:color="auto" w:sz="4" w:space="0"/>
              <w:left w:val="nil"/>
              <w:bottom w:val="single" w:color="auto" w:sz="4" w:space="0"/>
              <w:right w:val="single" w:color="auto" w:sz="4" w:space="0"/>
            </w:tcBorders>
            <w:vAlign w:val="center"/>
          </w:tcPr>
          <w:p>
            <w:pPr>
              <w:jc w:val="center"/>
              <w:rPr>
                <w:rFonts w:ascii="Tahoma" w:hAnsi="Tahoma" w:cs="Tahoma"/>
                <w:color w:val="000000"/>
                <w:sz w:val="22"/>
                <w:szCs w:val="22"/>
              </w:rPr>
            </w:pPr>
          </w:p>
        </w:tc>
      </w:tr>
      <w:tr>
        <w:tblPrEx>
          <w:tblLayout w:type="fixed"/>
          <w:tblCellMar>
            <w:top w:w="0" w:type="dxa"/>
            <w:left w:w="0" w:type="dxa"/>
            <w:bottom w:w="0" w:type="dxa"/>
            <w:right w:w="0" w:type="dxa"/>
          </w:tblCellMar>
        </w:tblPrEx>
        <w:trPr>
          <w:trHeight w:val="895" w:hRule="atLeast"/>
          <w:jc w:val="center"/>
        </w:trPr>
        <w:tc>
          <w:tcPr>
            <w:tcW w:w="43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left"/>
              <w:rPr>
                <w:rFonts w:hint="eastAsia" w:eastAsia="宋体"/>
                <w:color w:val="0000FF"/>
                <w:sz w:val="22"/>
                <w:szCs w:val="22"/>
                <w:lang w:eastAsia="zh-CN"/>
              </w:rPr>
            </w:pPr>
            <w:r>
              <w:rPr>
                <w:rFonts w:hint="eastAsia"/>
                <w:color w:val="0000FF"/>
                <w:sz w:val="22"/>
                <w:szCs w:val="22"/>
                <w:lang w:eastAsia="zh-CN"/>
              </w:rPr>
              <w:t>合同签订</w:t>
            </w:r>
            <w:r>
              <w:rPr>
                <w:rFonts w:hint="eastAsia"/>
                <w:color w:val="0000FF"/>
                <w:sz w:val="22"/>
                <w:szCs w:val="22"/>
                <w:lang w:val="en-US" w:eastAsia="zh-CN"/>
              </w:rPr>
              <w:t>7个工作日后</w:t>
            </w:r>
            <w:r>
              <w:rPr>
                <w:rFonts w:hint="eastAsia"/>
                <w:color w:val="0000FF"/>
                <w:sz w:val="22"/>
                <w:szCs w:val="22"/>
              </w:rPr>
              <w:t>支付</w:t>
            </w:r>
            <w:r>
              <w:rPr>
                <w:rFonts w:hint="eastAsia"/>
                <w:color w:val="0000FF"/>
                <w:sz w:val="22"/>
                <w:szCs w:val="22"/>
                <w:lang w:eastAsia="zh-CN"/>
              </w:rPr>
              <w:t>合同</w:t>
            </w:r>
            <w:r>
              <w:rPr>
                <w:rFonts w:hint="eastAsia"/>
                <w:color w:val="0000FF"/>
                <w:sz w:val="22"/>
                <w:szCs w:val="22"/>
              </w:rPr>
              <w:t>价的</w:t>
            </w:r>
            <w:r>
              <w:rPr>
                <w:rFonts w:hint="eastAsia"/>
                <w:color w:val="0000FF"/>
                <w:sz w:val="22"/>
                <w:szCs w:val="22"/>
                <w:lang w:val="en-US" w:eastAsia="zh-CN"/>
              </w:rPr>
              <w:t>30</w:t>
            </w:r>
            <w:r>
              <w:rPr>
                <w:color w:val="0000FF"/>
                <w:sz w:val="22"/>
                <w:szCs w:val="22"/>
              </w:rPr>
              <w:t>%</w:t>
            </w:r>
            <w:r>
              <w:rPr>
                <w:rFonts w:hint="eastAsia"/>
                <w:color w:val="0000FF"/>
                <w:sz w:val="22"/>
                <w:szCs w:val="22"/>
                <w:lang w:eastAsia="zh-CN"/>
              </w:rPr>
              <w:t>（预付款、除暂列金）</w:t>
            </w:r>
          </w:p>
        </w:tc>
        <w:tc>
          <w:tcPr>
            <w:tcW w:w="1656" w:type="dxa"/>
            <w:tcBorders>
              <w:top w:val="single" w:color="auto" w:sz="4" w:space="0"/>
              <w:left w:val="nil"/>
              <w:bottom w:val="single" w:color="auto" w:sz="4" w:space="0"/>
              <w:right w:val="single" w:color="auto" w:sz="4" w:space="0"/>
            </w:tcBorders>
            <w:vAlign w:val="center"/>
          </w:tcPr>
          <w:p>
            <w:pPr>
              <w:adjustRightInd w:val="0"/>
              <w:snapToGrid w:val="0"/>
              <w:spacing w:line="400" w:lineRule="exact"/>
              <w:jc w:val="center"/>
              <w:rPr>
                <w:color w:val="0000FF"/>
                <w:sz w:val="22"/>
                <w:szCs w:val="22"/>
              </w:rPr>
            </w:pPr>
            <w:r>
              <w:rPr>
                <w:rFonts w:hint="eastAsia"/>
                <w:color w:val="0000FF"/>
                <w:sz w:val="22"/>
                <w:szCs w:val="22"/>
                <w:lang w:val="en-US" w:eastAsia="zh-CN"/>
              </w:rPr>
              <w:t>30</w:t>
            </w:r>
            <w:r>
              <w:rPr>
                <w:color w:val="0000FF"/>
                <w:sz w:val="22"/>
                <w:szCs w:val="22"/>
              </w:rPr>
              <w:t>%</w:t>
            </w:r>
          </w:p>
        </w:tc>
        <w:tc>
          <w:tcPr>
            <w:tcW w:w="3153" w:type="dxa"/>
            <w:tcBorders>
              <w:top w:val="single" w:color="auto" w:sz="4" w:space="0"/>
              <w:left w:val="nil"/>
              <w:bottom w:val="single" w:color="auto" w:sz="4" w:space="0"/>
              <w:right w:val="single" w:color="auto" w:sz="4" w:space="0"/>
            </w:tcBorders>
            <w:vAlign w:val="center"/>
          </w:tcPr>
          <w:p>
            <w:pPr>
              <w:adjustRightInd w:val="0"/>
              <w:snapToGrid w:val="0"/>
              <w:spacing w:line="400" w:lineRule="exact"/>
              <w:jc w:val="both"/>
              <w:rPr>
                <w:rFonts w:hint="eastAsia" w:eastAsia="宋体"/>
                <w:color w:val="0000FF"/>
                <w:sz w:val="22"/>
                <w:szCs w:val="22"/>
                <w:lang w:val="en-US" w:eastAsia="zh-CN"/>
              </w:rPr>
            </w:pPr>
          </w:p>
        </w:tc>
      </w:tr>
      <w:tr>
        <w:tblPrEx>
          <w:tblLayout w:type="fixed"/>
          <w:tblCellMar>
            <w:top w:w="0" w:type="dxa"/>
            <w:left w:w="0" w:type="dxa"/>
            <w:bottom w:w="0" w:type="dxa"/>
            <w:right w:w="0" w:type="dxa"/>
          </w:tblCellMar>
        </w:tblPrEx>
        <w:trPr>
          <w:trHeight w:val="895" w:hRule="atLeast"/>
          <w:jc w:val="center"/>
        </w:trPr>
        <w:tc>
          <w:tcPr>
            <w:tcW w:w="43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left"/>
              <w:rPr>
                <w:rFonts w:hint="eastAsia"/>
                <w:color w:val="0000FF"/>
                <w:sz w:val="22"/>
                <w:szCs w:val="22"/>
              </w:rPr>
            </w:pPr>
            <w:r>
              <w:rPr>
                <w:rFonts w:hint="eastAsia"/>
                <w:color w:val="0000FF"/>
                <w:sz w:val="22"/>
                <w:szCs w:val="22"/>
              </w:rPr>
              <w:t>工程竣工验收合格</w:t>
            </w:r>
            <w:r>
              <w:rPr>
                <w:rFonts w:hint="eastAsia"/>
                <w:color w:val="0000FF"/>
                <w:sz w:val="22"/>
                <w:szCs w:val="22"/>
                <w:lang w:eastAsia="zh-CN"/>
              </w:rPr>
              <w:t>后</w:t>
            </w:r>
            <w:r>
              <w:rPr>
                <w:rFonts w:hint="eastAsia"/>
                <w:color w:val="0000FF"/>
                <w:sz w:val="22"/>
                <w:szCs w:val="22"/>
              </w:rPr>
              <w:t>支付至</w:t>
            </w:r>
            <w:r>
              <w:rPr>
                <w:rFonts w:hint="eastAsia"/>
                <w:color w:val="0000FF"/>
                <w:sz w:val="22"/>
                <w:szCs w:val="22"/>
                <w:lang w:eastAsia="zh-CN"/>
              </w:rPr>
              <w:t>合同</w:t>
            </w:r>
            <w:r>
              <w:rPr>
                <w:rFonts w:hint="eastAsia"/>
                <w:color w:val="0000FF"/>
                <w:sz w:val="22"/>
                <w:szCs w:val="22"/>
              </w:rPr>
              <w:t>价的</w:t>
            </w:r>
            <w:r>
              <w:rPr>
                <w:rFonts w:hint="eastAsia"/>
                <w:color w:val="0000FF"/>
                <w:sz w:val="22"/>
                <w:szCs w:val="22"/>
                <w:lang w:val="en-US" w:eastAsia="zh-CN"/>
              </w:rPr>
              <w:t>80</w:t>
            </w:r>
            <w:r>
              <w:rPr>
                <w:color w:val="0000FF"/>
                <w:sz w:val="22"/>
                <w:szCs w:val="22"/>
              </w:rPr>
              <w:t>%</w:t>
            </w:r>
            <w:r>
              <w:rPr>
                <w:rFonts w:hint="eastAsia"/>
                <w:color w:val="0000FF"/>
                <w:sz w:val="22"/>
                <w:szCs w:val="22"/>
                <w:lang w:eastAsia="zh-CN"/>
              </w:rPr>
              <w:t>（除暂列金）</w:t>
            </w:r>
          </w:p>
        </w:tc>
        <w:tc>
          <w:tcPr>
            <w:tcW w:w="1656" w:type="dxa"/>
            <w:tcBorders>
              <w:top w:val="single" w:color="auto" w:sz="4" w:space="0"/>
              <w:left w:val="nil"/>
              <w:bottom w:val="single" w:color="auto" w:sz="4" w:space="0"/>
              <w:right w:val="single" w:color="auto" w:sz="4" w:space="0"/>
            </w:tcBorders>
            <w:vAlign w:val="center"/>
          </w:tcPr>
          <w:p>
            <w:pPr>
              <w:adjustRightInd w:val="0"/>
              <w:snapToGrid w:val="0"/>
              <w:spacing w:line="400" w:lineRule="exact"/>
              <w:jc w:val="center"/>
              <w:rPr>
                <w:rFonts w:hint="eastAsia"/>
                <w:color w:val="0000FF"/>
                <w:sz w:val="22"/>
                <w:szCs w:val="22"/>
                <w:lang w:val="en-US" w:eastAsia="zh-CN"/>
              </w:rPr>
            </w:pPr>
            <w:r>
              <w:rPr>
                <w:rFonts w:hint="eastAsia"/>
                <w:color w:val="0000FF"/>
                <w:sz w:val="22"/>
                <w:szCs w:val="22"/>
                <w:lang w:val="en-US" w:eastAsia="zh-CN"/>
              </w:rPr>
              <w:t>50</w:t>
            </w:r>
            <w:r>
              <w:rPr>
                <w:color w:val="0000FF"/>
                <w:sz w:val="22"/>
                <w:szCs w:val="22"/>
              </w:rPr>
              <w:t>%</w:t>
            </w:r>
          </w:p>
        </w:tc>
        <w:tc>
          <w:tcPr>
            <w:tcW w:w="3153" w:type="dxa"/>
            <w:tcBorders>
              <w:top w:val="single" w:color="auto" w:sz="4" w:space="0"/>
              <w:left w:val="nil"/>
              <w:bottom w:val="single" w:color="auto" w:sz="4" w:space="0"/>
              <w:right w:val="single" w:color="auto" w:sz="4" w:space="0"/>
            </w:tcBorders>
            <w:vAlign w:val="center"/>
          </w:tcPr>
          <w:p>
            <w:pPr>
              <w:adjustRightInd w:val="0"/>
              <w:snapToGrid w:val="0"/>
              <w:spacing w:line="400" w:lineRule="exact"/>
              <w:jc w:val="both"/>
              <w:rPr>
                <w:rFonts w:hint="eastAsia" w:eastAsia="宋体"/>
                <w:color w:val="0000FF"/>
                <w:sz w:val="22"/>
                <w:szCs w:val="22"/>
                <w:lang w:val="en-US" w:eastAsia="zh-CN"/>
              </w:rPr>
            </w:pPr>
          </w:p>
        </w:tc>
      </w:tr>
      <w:tr>
        <w:tblPrEx>
          <w:tblLayout w:type="fixed"/>
          <w:tblCellMar>
            <w:top w:w="0" w:type="dxa"/>
            <w:left w:w="0" w:type="dxa"/>
            <w:bottom w:w="0" w:type="dxa"/>
            <w:right w:w="0" w:type="dxa"/>
          </w:tblCellMar>
        </w:tblPrEx>
        <w:trPr>
          <w:trHeight w:val="895" w:hRule="atLeast"/>
          <w:jc w:val="center"/>
        </w:trPr>
        <w:tc>
          <w:tcPr>
            <w:tcW w:w="43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left"/>
              <w:rPr>
                <w:rFonts w:hint="eastAsia"/>
                <w:color w:val="0000FF"/>
                <w:sz w:val="22"/>
                <w:szCs w:val="22"/>
              </w:rPr>
            </w:pPr>
            <w:r>
              <w:rPr>
                <w:rFonts w:hint="eastAsia"/>
                <w:color w:val="0000FF"/>
                <w:sz w:val="22"/>
                <w:szCs w:val="22"/>
                <w:lang w:eastAsia="zh-CN"/>
              </w:rPr>
              <w:t>工程通过财政评审后</w:t>
            </w:r>
            <w:r>
              <w:rPr>
                <w:rFonts w:hint="eastAsia"/>
                <w:color w:val="0000FF"/>
                <w:sz w:val="22"/>
                <w:szCs w:val="22"/>
              </w:rPr>
              <w:t>支付至</w:t>
            </w:r>
            <w:r>
              <w:rPr>
                <w:rFonts w:hint="eastAsia"/>
                <w:color w:val="0000FF"/>
                <w:sz w:val="22"/>
                <w:szCs w:val="22"/>
                <w:lang w:eastAsia="zh-CN"/>
              </w:rPr>
              <w:t>合同</w:t>
            </w:r>
            <w:r>
              <w:rPr>
                <w:rFonts w:hint="eastAsia"/>
                <w:color w:val="0000FF"/>
                <w:sz w:val="22"/>
                <w:szCs w:val="22"/>
              </w:rPr>
              <w:t>价的</w:t>
            </w:r>
            <w:r>
              <w:rPr>
                <w:rFonts w:hint="eastAsia"/>
                <w:color w:val="0000FF"/>
                <w:sz w:val="22"/>
                <w:szCs w:val="22"/>
                <w:lang w:eastAsia="zh-CN"/>
              </w:rPr>
              <w:t>（评审价）的</w:t>
            </w:r>
            <w:r>
              <w:rPr>
                <w:rFonts w:hint="eastAsia"/>
                <w:color w:val="0000FF"/>
                <w:sz w:val="22"/>
                <w:szCs w:val="22"/>
                <w:lang w:val="en-US" w:eastAsia="zh-CN"/>
              </w:rPr>
              <w:t>100</w:t>
            </w:r>
            <w:r>
              <w:rPr>
                <w:color w:val="0000FF"/>
                <w:sz w:val="22"/>
                <w:szCs w:val="22"/>
              </w:rPr>
              <w:t>%</w:t>
            </w:r>
          </w:p>
        </w:tc>
        <w:tc>
          <w:tcPr>
            <w:tcW w:w="1656" w:type="dxa"/>
            <w:tcBorders>
              <w:top w:val="single" w:color="auto" w:sz="4" w:space="0"/>
              <w:left w:val="nil"/>
              <w:bottom w:val="single" w:color="auto" w:sz="4" w:space="0"/>
              <w:right w:val="single" w:color="auto" w:sz="4" w:space="0"/>
            </w:tcBorders>
            <w:vAlign w:val="center"/>
          </w:tcPr>
          <w:p>
            <w:pPr>
              <w:adjustRightInd w:val="0"/>
              <w:snapToGrid w:val="0"/>
              <w:spacing w:line="400" w:lineRule="exact"/>
              <w:jc w:val="center"/>
              <w:rPr>
                <w:rFonts w:hint="eastAsia"/>
                <w:color w:val="0000FF"/>
                <w:sz w:val="22"/>
                <w:szCs w:val="22"/>
                <w:lang w:val="en-US" w:eastAsia="zh-CN"/>
              </w:rPr>
            </w:pPr>
            <w:r>
              <w:rPr>
                <w:rFonts w:hint="eastAsia"/>
                <w:color w:val="0000FF"/>
                <w:sz w:val="22"/>
                <w:szCs w:val="22"/>
                <w:lang w:val="en-US" w:eastAsia="zh-CN"/>
              </w:rPr>
              <w:t>20</w:t>
            </w:r>
            <w:r>
              <w:rPr>
                <w:color w:val="0000FF"/>
                <w:sz w:val="22"/>
                <w:szCs w:val="22"/>
              </w:rPr>
              <w:t>%</w:t>
            </w:r>
          </w:p>
        </w:tc>
        <w:tc>
          <w:tcPr>
            <w:tcW w:w="3153" w:type="dxa"/>
            <w:tcBorders>
              <w:top w:val="single" w:color="auto" w:sz="4" w:space="0"/>
              <w:left w:val="nil"/>
              <w:bottom w:val="single" w:color="auto" w:sz="4" w:space="0"/>
              <w:right w:val="single" w:color="auto" w:sz="4" w:space="0"/>
            </w:tcBorders>
            <w:vAlign w:val="center"/>
          </w:tcPr>
          <w:p>
            <w:pPr>
              <w:adjustRightInd w:val="0"/>
              <w:snapToGrid w:val="0"/>
              <w:spacing w:line="400" w:lineRule="exact"/>
              <w:jc w:val="center"/>
              <w:rPr>
                <w:rFonts w:hint="eastAsia" w:ascii="宋体" w:hAnsi="宋体"/>
                <w:sz w:val="22"/>
                <w:szCs w:val="22"/>
                <w:u w:val="none"/>
                <w:lang w:val="en-US" w:eastAsia="zh-CN"/>
              </w:rPr>
            </w:pPr>
          </w:p>
        </w:tc>
      </w:tr>
    </w:tbl>
    <w:p>
      <w:pPr>
        <w:tabs>
          <w:tab w:val="left" w:pos="851"/>
        </w:tabs>
        <w:adjustRightInd w:val="0"/>
        <w:snapToGrid w:val="0"/>
        <w:spacing w:beforeLines="100" w:afterLines="100" w:line="400" w:lineRule="exact"/>
        <w:jc w:val="left"/>
        <w:rPr>
          <w:sz w:val="22"/>
          <w:szCs w:val="22"/>
        </w:rPr>
      </w:pPr>
      <w:r>
        <w:rPr>
          <w:rFonts w:hint="eastAsia" w:hAnsi="宋体"/>
          <w:sz w:val="22"/>
          <w:szCs w:val="22"/>
        </w:rPr>
        <w:t>上述进度款拨付的时间仅为预估时间，具体时间以实际拨付时间为准</w:t>
      </w:r>
      <w:r>
        <w:rPr>
          <w:rFonts w:hint="eastAsia" w:ascii="宋体" w:hAnsi="宋体"/>
          <w:szCs w:val="21"/>
        </w:rPr>
        <w:t>，乙方谅解此情况并不视为甲方逾期付款。</w:t>
      </w:r>
    </w:p>
    <w:p>
      <w:pPr>
        <w:adjustRightInd w:val="0"/>
        <w:snapToGrid w:val="0"/>
        <w:spacing w:beforeLines="100" w:afterLines="100" w:line="400" w:lineRule="exact"/>
        <w:jc w:val="left"/>
        <w:rPr>
          <w:color w:val="FF0000"/>
          <w:sz w:val="22"/>
          <w:szCs w:val="22"/>
        </w:rPr>
      </w:pPr>
      <w:r>
        <w:rPr>
          <w:rFonts w:hAnsi="宋体"/>
          <w:color w:val="FF0000"/>
          <w:sz w:val="22"/>
          <w:szCs w:val="22"/>
        </w:rPr>
        <w:t xml:space="preserve">12.1   </w:t>
      </w:r>
      <w:r>
        <w:rPr>
          <w:rFonts w:hint="eastAsia" w:hAnsi="宋体"/>
          <w:color w:val="FF0000"/>
          <w:sz w:val="22"/>
          <w:szCs w:val="22"/>
        </w:rPr>
        <w:t>结算方式：工程竣工验收合格后</w:t>
      </w:r>
      <w:r>
        <w:rPr>
          <w:rFonts w:hint="eastAsia" w:hAnsi="宋体"/>
          <w:color w:val="FF0000"/>
          <w:sz w:val="22"/>
          <w:szCs w:val="22"/>
          <w:lang w:val="en-US" w:eastAsia="zh-CN"/>
        </w:rPr>
        <w:t>15</w:t>
      </w:r>
      <w:r>
        <w:rPr>
          <w:rFonts w:hint="eastAsia" w:hAnsi="宋体"/>
          <w:color w:val="FF0000"/>
          <w:sz w:val="22"/>
          <w:szCs w:val="22"/>
        </w:rPr>
        <w:t>天内，</w:t>
      </w:r>
      <w:r>
        <w:rPr>
          <w:rFonts w:hint="eastAsia" w:hAnsi="宋体"/>
          <w:color w:val="FF0000"/>
          <w:sz w:val="22"/>
          <w:szCs w:val="22"/>
          <w:lang w:eastAsia="zh-CN"/>
        </w:rPr>
        <w:t>支付至合同价的</w:t>
      </w:r>
      <w:r>
        <w:rPr>
          <w:rFonts w:hint="eastAsia" w:hAnsi="宋体"/>
          <w:color w:val="FF0000"/>
          <w:sz w:val="22"/>
          <w:szCs w:val="22"/>
          <w:lang w:val="en-US" w:eastAsia="zh-CN"/>
        </w:rPr>
        <w:t>80%，</w:t>
      </w:r>
      <w:r>
        <w:rPr>
          <w:rFonts w:hint="eastAsia" w:hAnsi="宋体"/>
          <w:color w:val="FF0000"/>
          <w:sz w:val="22"/>
          <w:szCs w:val="22"/>
        </w:rPr>
        <w:t>承包方向发包方提交完整的竣工结算资料，发包方在收到有关结算资料后</w:t>
      </w:r>
      <w:r>
        <w:rPr>
          <w:rFonts w:hint="eastAsia" w:hAnsi="宋体"/>
          <w:color w:val="FF0000"/>
          <w:sz w:val="22"/>
          <w:szCs w:val="22"/>
          <w:lang w:val="en-US" w:eastAsia="zh-CN"/>
        </w:rPr>
        <w:t>15</w:t>
      </w:r>
      <w:r>
        <w:rPr>
          <w:rFonts w:hint="eastAsia" w:hAnsi="宋体"/>
          <w:color w:val="FF0000"/>
          <w:sz w:val="22"/>
          <w:szCs w:val="22"/>
        </w:rPr>
        <w:t>天内</w:t>
      </w:r>
      <w:r>
        <w:rPr>
          <w:rFonts w:hint="eastAsia" w:hAnsi="宋体"/>
          <w:color w:val="FF0000"/>
          <w:sz w:val="22"/>
          <w:szCs w:val="22"/>
          <w:lang w:eastAsia="zh-CN"/>
        </w:rPr>
        <w:t>送结算财政评审</w:t>
      </w:r>
      <w:r>
        <w:rPr>
          <w:rFonts w:hint="eastAsia" w:hAnsi="宋体"/>
          <w:color w:val="FF0000"/>
          <w:sz w:val="22"/>
          <w:szCs w:val="22"/>
        </w:rPr>
        <w:t>，</w:t>
      </w:r>
      <w:r>
        <w:rPr>
          <w:rFonts w:hint="eastAsia" w:hAnsi="宋体"/>
          <w:color w:val="FF0000"/>
          <w:sz w:val="22"/>
          <w:szCs w:val="22"/>
          <w:lang w:eastAsia="zh-CN"/>
        </w:rPr>
        <w:t>评审公司</w:t>
      </w:r>
      <w:r>
        <w:rPr>
          <w:rFonts w:hint="eastAsia" w:hAnsi="宋体"/>
          <w:color w:val="FF0000"/>
          <w:sz w:val="22"/>
          <w:szCs w:val="22"/>
        </w:rPr>
        <w:t>出具</w:t>
      </w:r>
      <w:r>
        <w:rPr>
          <w:rFonts w:hint="eastAsia" w:hAnsi="宋体"/>
          <w:color w:val="FF0000"/>
          <w:sz w:val="22"/>
          <w:szCs w:val="22"/>
          <w:lang w:eastAsia="zh-CN"/>
        </w:rPr>
        <w:t>结算</w:t>
      </w:r>
      <w:r>
        <w:rPr>
          <w:rFonts w:hint="eastAsia" w:hAnsi="宋体"/>
          <w:color w:val="FF0000"/>
          <w:sz w:val="22"/>
          <w:szCs w:val="22"/>
        </w:rPr>
        <w:t>审核意见</w:t>
      </w:r>
      <w:r>
        <w:rPr>
          <w:rFonts w:hint="eastAsia" w:hAnsi="宋体"/>
          <w:color w:val="FF0000"/>
          <w:sz w:val="22"/>
          <w:szCs w:val="22"/>
          <w:lang w:eastAsia="zh-CN"/>
        </w:rPr>
        <w:t>后</w:t>
      </w:r>
      <w:r>
        <w:rPr>
          <w:rFonts w:hint="eastAsia" w:hAnsi="宋体"/>
          <w:color w:val="FF0000"/>
          <w:sz w:val="22"/>
          <w:szCs w:val="22"/>
        </w:rPr>
        <w:t>，承包方</w:t>
      </w:r>
      <w:r>
        <w:rPr>
          <w:rFonts w:hint="eastAsia" w:hAnsi="宋体"/>
          <w:color w:val="FF0000"/>
          <w:sz w:val="22"/>
          <w:szCs w:val="22"/>
          <w:lang w:eastAsia="zh-CN"/>
        </w:rPr>
        <w:t>开具有效发票，</w:t>
      </w:r>
      <w:r>
        <w:rPr>
          <w:rFonts w:hint="eastAsia" w:hAnsi="宋体"/>
          <w:color w:val="FF0000"/>
          <w:sz w:val="22"/>
          <w:szCs w:val="22"/>
        </w:rPr>
        <w:t>发包方支付至</w:t>
      </w:r>
      <w:r>
        <w:rPr>
          <w:rFonts w:hint="eastAsia" w:hAnsi="宋体"/>
          <w:color w:val="FF0000"/>
          <w:sz w:val="22"/>
          <w:szCs w:val="22"/>
          <w:lang w:eastAsia="zh-CN"/>
        </w:rPr>
        <w:t>（评审后）</w:t>
      </w:r>
      <w:r>
        <w:rPr>
          <w:rFonts w:hint="eastAsia" w:hAnsi="宋体"/>
          <w:color w:val="FF0000"/>
          <w:sz w:val="22"/>
          <w:szCs w:val="22"/>
        </w:rPr>
        <w:t>结算价的</w:t>
      </w:r>
      <w:r>
        <w:rPr>
          <w:rFonts w:hAnsi="宋体"/>
          <w:color w:val="FF0000"/>
          <w:sz w:val="22"/>
          <w:szCs w:val="22"/>
          <w:u w:val="single"/>
        </w:rPr>
        <w:t xml:space="preserve"> </w:t>
      </w:r>
      <w:r>
        <w:rPr>
          <w:rFonts w:hint="eastAsia" w:hAnsi="宋体"/>
          <w:color w:val="FF0000"/>
          <w:sz w:val="22"/>
          <w:szCs w:val="22"/>
          <w:u w:val="single"/>
          <w:lang w:val="en-US" w:eastAsia="zh-CN"/>
        </w:rPr>
        <w:t>100</w:t>
      </w:r>
      <w:r>
        <w:rPr>
          <w:rFonts w:hAnsi="宋体"/>
          <w:color w:val="FF0000"/>
          <w:sz w:val="22"/>
          <w:szCs w:val="22"/>
          <w:u w:val="single"/>
        </w:rPr>
        <w:t xml:space="preserve"> </w:t>
      </w:r>
      <w:r>
        <w:rPr>
          <w:rFonts w:hAnsi="宋体"/>
          <w:color w:val="FF0000"/>
          <w:sz w:val="22"/>
          <w:szCs w:val="22"/>
        </w:rPr>
        <w:t>%</w:t>
      </w:r>
      <w:r>
        <w:rPr>
          <w:rFonts w:hint="eastAsia" w:hAnsi="宋体"/>
          <w:color w:val="FF0000"/>
          <w:sz w:val="22"/>
          <w:szCs w:val="22"/>
          <w:lang w:eastAsia="zh-CN"/>
        </w:rPr>
        <w:t>；</w:t>
      </w:r>
    </w:p>
    <w:p>
      <w:pPr>
        <w:tabs>
          <w:tab w:val="left" w:pos="851"/>
        </w:tabs>
        <w:adjustRightInd w:val="0"/>
        <w:snapToGrid w:val="0"/>
        <w:spacing w:beforeLines="100" w:afterLines="100" w:line="400" w:lineRule="exact"/>
        <w:jc w:val="left"/>
        <w:rPr>
          <w:color w:val="FF0000"/>
          <w:sz w:val="22"/>
          <w:szCs w:val="22"/>
        </w:rPr>
      </w:pPr>
      <w:r>
        <w:rPr>
          <w:rFonts w:hAnsi="宋体"/>
          <w:sz w:val="22"/>
          <w:szCs w:val="22"/>
        </w:rPr>
        <w:t xml:space="preserve">12.2    </w:t>
      </w:r>
      <w:r>
        <w:rPr>
          <w:rFonts w:hint="eastAsia" w:hAnsi="宋体"/>
          <w:color w:val="FF0000"/>
          <w:sz w:val="22"/>
          <w:szCs w:val="22"/>
        </w:rPr>
        <w:t>结算经</w:t>
      </w:r>
      <w:r>
        <w:rPr>
          <w:rFonts w:hint="eastAsia" w:hAnsi="宋体"/>
          <w:color w:val="FF0000"/>
          <w:sz w:val="22"/>
          <w:szCs w:val="22"/>
          <w:lang w:eastAsia="zh-CN"/>
        </w:rPr>
        <w:t>相关管理</w:t>
      </w:r>
      <w:r>
        <w:rPr>
          <w:rFonts w:hint="eastAsia" w:hAnsi="宋体"/>
          <w:color w:val="FF0000"/>
          <w:sz w:val="22"/>
          <w:szCs w:val="22"/>
        </w:rPr>
        <w:t>部门审定后，发包方发现工程款超付，则承包方须在收到发包方的通知后</w:t>
      </w:r>
      <w:r>
        <w:rPr>
          <w:rFonts w:hAnsi="宋体"/>
          <w:color w:val="FF0000"/>
          <w:sz w:val="22"/>
          <w:szCs w:val="22"/>
        </w:rPr>
        <w:t>15</w:t>
      </w:r>
      <w:r>
        <w:rPr>
          <w:rFonts w:hint="eastAsia" w:hAnsi="宋体"/>
          <w:color w:val="FF0000"/>
          <w:sz w:val="22"/>
          <w:szCs w:val="22"/>
        </w:rPr>
        <w:t>天内无条件予以退还。若承包方迟延退还工程款，除向发包方退还超付工程款，还需承担以银</w:t>
      </w:r>
      <w:r>
        <w:rPr>
          <w:rFonts w:hint="eastAsia" w:ascii="宋体" w:hAnsi="宋体"/>
          <w:color w:val="FF0000"/>
          <w:sz w:val="22"/>
          <w:szCs w:val="22"/>
        </w:rPr>
        <w:t>行同期贷款利率</w:t>
      </w:r>
      <w:r>
        <w:rPr>
          <w:rFonts w:ascii="宋体" w:hAnsi="宋体"/>
          <w:color w:val="FF0000"/>
          <w:sz w:val="22"/>
          <w:szCs w:val="22"/>
        </w:rPr>
        <w:t>2</w:t>
      </w:r>
      <w:r>
        <w:rPr>
          <w:rFonts w:hint="eastAsia" w:ascii="宋体" w:hAnsi="宋体"/>
          <w:color w:val="FF0000"/>
          <w:sz w:val="22"/>
          <w:szCs w:val="22"/>
        </w:rPr>
        <w:t>倍的利息作为违约金。</w:t>
      </w:r>
    </w:p>
    <w:p>
      <w:pPr>
        <w:tabs>
          <w:tab w:val="left" w:pos="851"/>
        </w:tabs>
        <w:adjustRightInd w:val="0"/>
        <w:snapToGrid w:val="0"/>
        <w:spacing w:beforeLines="100" w:afterLines="100" w:line="400" w:lineRule="exact"/>
        <w:jc w:val="left"/>
        <w:rPr>
          <w:color w:val="FF0000"/>
          <w:sz w:val="22"/>
          <w:szCs w:val="22"/>
        </w:rPr>
      </w:pPr>
      <w:r>
        <w:rPr>
          <w:rFonts w:ascii="宋体" w:hAnsi="宋体"/>
          <w:color w:val="FF0000"/>
          <w:sz w:val="22"/>
          <w:szCs w:val="22"/>
        </w:rPr>
        <w:t xml:space="preserve">12.3   </w:t>
      </w:r>
      <w:r>
        <w:rPr>
          <w:rFonts w:hint="eastAsia" w:ascii="宋体" w:hAnsi="宋体"/>
          <w:color w:val="FF0000"/>
          <w:sz w:val="22"/>
          <w:szCs w:val="22"/>
        </w:rPr>
        <w:t>若承包方怠于结算，在发包方书面催促后</w:t>
      </w:r>
      <w:r>
        <w:rPr>
          <w:rFonts w:ascii="宋体" w:hAnsi="宋体"/>
          <w:color w:val="FF0000"/>
          <w:sz w:val="22"/>
          <w:szCs w:val="22"/>
          <w:u w:val="single"/>
        </w:rPr>
        <w:t>5</w:t>
      </w:r>
      <w:r>
        <w:rPr>
          <w:rFonts w:hint="eastAsia" w:ascii="宋体" w:hAnsi="宋体"/>
          <w:color w:val="FF0000"/>
          <w:sz w:val="22"/>
          <w:szCs w:val="22"/>
        </w:rPr>
        <w:t>日内仍未有实际配合结算，发包方有权</w:t>
      </w:r>
      <w:r>
        <w:rPr>
          <w:rFonts w:hint="eastAsia" w:hAnsi="宋体"/>
          <w:color w:val="FF0000"/>
          <w:kern w:val="0"/>
          <w:sz w:val="22"/>
        </w:rPr>
        <w:t>以单方结算金额为准。</w:t>
      </w:r>
    </w:p>
    <w:p>
      <w:pPr>
        <w:numPr>
          <w:ilvl w:val="0"/>
          <w:numId w:val="1"/>
        </w:numPr>
        <w:tabs>
          <w:tab w:val="left" w:pos="851"/>
        </w:tabs>
        <w:adjustRightInd w:val="0"/>
        <w:snapToGrid w:val="0"/>
        <w:spacing w:beforeLines="100" w:afterLines="100" w:line="400" w:lineRule="exact"/>
        <w:ind w:left="0" w:firstLine="0"/>
        <w:jc w:val="left"/>
        <w:rPr>
          <w:sz w:val="22"/>
          <w:szCs w:val="22"/>
        </w:rPr>
      </w:pPr>
      <w:r>
        <w:rPr>
          <w:rFonts w:hint="eastAsia" w:hAnsi="宋体"/>
          <w:bCs/>
          <w:sz w:val="22"/>
          <w:szCs w:val="22"/>
        </w:rPr>
        <w:t>材料设备的供应。</w:t>
      </w:r>
    </w:p>
    <w:p>
      <w:pPr>
        <w:numPr>
          <w:ilvl w:val="0"/>
          <w:numId w:val="14"/>
        </w:numPr>
        <w:tabs>
          <w:tab w:val="left" w:pos="851"/>
        </w:tabs>
        <w:adjustRightInd w:val="0"/>
        <w:snapToGrid w:val="0"/>
        <w:spacing w:beforeLines="100" w:afterLines="100" w:line="400" w:lineRule="exact"/>
        <w:ind w:left="851" w:hanging="851"/>
        <w:jc w:val="left"/>
        <w:rPr>
          <w:sz w:val="22"/>
          <w:szCs w:val="22"/>
        </w:rPr>
      </w:pPr>
      <w:r>
        <w:rPr>
          <w:rFonts w:hint="eastAsia" w:hAnsi="宋体"/>
          <w:sz w:val="22"/>
          <w:szCs w:val="22"/>
        </w:rPr>
        <w:t>发包方按双方约定的《发包方供应材料设备一览表》</w:t>
      </w:r>
      <w:r>
        <w:rPr>
          <w:sz w:val="22"/>
          <w:szCs w:val="22"/>
        </w:rPr>
        <w:t>(</w:t>
      </w:r>
      <w:r>
        <w:rPr>
          <w:rFonts w:hint="eastAsia" w:hAnsi="宋体"/>
          <w:sz w:val="22"/>
          <w:szCs w:val="22"/>
        </w:rPr>
        <w:t>附后</w:t>
      </w:r>
      <w:r>
        <w:rPr>
          <w:sz w:val="22"/>
          <w:szCs w:val="22"/>
        </w:rPr>
        <w:t>)</w:t>
      </w:r>
      <w:r>
        <w:rPr>
          <w:rFonts w:hint="eastAsia" w:hAnsi="宋体"/>
          <w:sz w:val="22"/>
          <w:szCs w:val="22"/>
        </w:rPr>
        <w:t>供应材料设备，发包方所供材料设备品种</w:t>
      </w:r>
      <w:r>
        <w:rPr>
          <w:rFonts w:hint="eastAsia"/>
          <w:sz w:val="22"/>
          <w:szCs w:val="22"/>
        </w:rPr>
        <w:t>、数量、规格与清单不符时，由发包方重新采购并补齐数量，因此造成的损失由发包方负责。</w:t>
      </w:r>
    </w:p>
    <w:p>
      <w:pPr>
        <w:numPr>
          <w:ilvl w:val="0"/>
          <w:numId w:val="14"/>
        </w:numPr>
        <w:tabs>
          <w:tab w:val="left" w:pos="851"/>
        </w:tabs>
        <w:adjustRightInd w:val="0"/>
        <w:snapToGrid w:val="0"/>
        <w:spacing w:beforeLines="100" w:afterLines="100" w:line="400" w:lineRule="exact"/>
        <w:ind w:left="851" w:hanging="851"/>
        <w:jc w:val="left"/>
        <w:rPr>
          <w:sz w:val="22"/>
          <w:szCs w:val="22"/>
        </w:rPr>
      </w:pPr>
      <w:r>
        <w:rPr>
          <w:rFonts w:hint="eastAsia" w:hAnsi="宋体"/>
          <w:sz w:val="22"/>
          <w:szCs w:val="22"/>
        </w:rPr>
        <w:t>承包方按双方约定的《承包方供应材料设备一览表》</w:t>
      </w:r>
      <w:r>
        <w:rPr>
          <w:sz w:val="22"/>
          <w:szCs w:val="22"/>
        </w:rPr>
        <w:t>(</w:t>
      </w:r>
      <w:r>
        <w:rPr>
          <w:rFonts w:hint="eastAsia" w:hAnsi="宋体"/>
          <w:sz w:val="22"/>
          <w:szCs w:val="22"/>
        </w:rPr>
        <w:t>附后</w:t>
      </w:r>
      <w:r>
        <w:rPr>
          <w:sz w:val="22"/>
          <w:szCs w:val="22"/>
        </w:rPr>
        <w:t>)</w:t>
      </w:r>
      <w:r>
        <w:rPr>
          <w:rFonts w:hint="eastAsia" w:hAnsi="宋体"/>
          <w:sz w:val="22"/>
          <w:szCs w:val="22"/>
        </w:rPr>
        <w:t>供应材料设备，发包方所供材料设备品种</w:t>
      </w:r>
      <w:r>
        <w:rPr>
          <w:rFonts w:hint="eastAsia"/>
          <w:sz w:val="22"/>
          <w:szCs w:val="22"/>
        </w:rPr>
        <w:t>、数量、规格与清单不符时，由承包方重新采购并补齐数量，因此造成的损失和工期延误的责任由承包方负责。</w:t>
      </w:r>
    </w:p>
    <w:p>
      <w:pPr>
        <w:numPr>
          <w:ilvl w:val="0"/>
          <w:numId w:val="14"/>
        </w:numPr>
        <w:tabs>
          <w:tab w:val="left" w:pos="851"/>
        </w:tabs>
        <w:adjustRightInd w:val="0"/>
        <w:snapToGrid w:val="0"/>
        <w:spacing w:beforeLines="100" w:afterLines="100" w:line="400" w:lineRule="exact"/>
        <w:ind w:left="851" w:hanging="851"/>
        <w:jc w:val="left"/>
        <w:rPr>
          <w:sz w:val="22"/>
          <w:szCs w:val="22"/>
        </w:rPr>
      </w:pPr>
      <w:r>
        <w:rPr>
          <w:rFonts w:hint="eastAsia"/>
          <w:sz w:val="22"/>
          <w:szCs w:val="22"/>
        </w:rPr>
        <w:t>发包方、承包方双方应对各自负责供应的材料设备，提供产品合格证明</w:t>
      </w:r>
      <w:r>
        <w:rPr>
          <w:sz w:val="22"/>
          <w:szCs w:val="22"/>
        </w:rPr>
        <w:t>;</w:t>
      </w:r>
      <w:r>
        <w:rPr>
          <w:rFonts w:hint="eastAsia"/>
          <w:sz w:val="22"/>
          <w:szCs w:val="22"/>
        </w:rPr>
        <w:t>如与设计和规范要求不符的产品，重新采购符合要求的产品，各自承担由此发生的费用。</w:t>
      </w:r>
    </w:p>
    <w:p>
      <w:pPr>
        <w:numPr>
          <w:ilvl w:val="0"/>
          <w:numId w:val="14"/>
        </w:numPr>
        <w:tabs>
          <w:tab w:val="left" w:pos="851"/>
        </w:tabs>
        <w:adjustRightInd w:val="0"/>
        <w:snapToGrid w:val="0"/>
        <w:spacing w:beforeLines="100" w:afterLines="100" w:line="400" w:lineRule="exact"/>
        <w:ind w:left="851" w:hanging="851"/>
        <w:jc w:val="left"/>
        <w:rPr>
          <w:sz w:val="22"/>
          <w:szCs w:val="22"/>
        </w:rPr>
      </w:pPr>
      <w:r>
        <w:rPr>
          <w:rFonts w:hint="eastAsia"/>
          <w:sz w:val="22"/>
          <w:szCs w:val="22"/>
        </w:rPr>
        <w:t>发包方发现承包方使用与设计和规范要求不符的材料设备时，有权指令承包方停止使用，并拆除、修复或重新采购，如果承包方不执行该指令，则发包方可自行或指派第三方执行该指令，由此发生的费用由承包方承担。</w:t>
      </w:r>
    </w:p>
    <w:p>
      <w:pPr>
        <w:numPr>
          <w:ilvl w:val="0"/>
          <w:numId w:val="14"/>
        </w:numPr>
        <w:tabs>
          <w:tab w:val="left" w:pos="851"/>
        </w:tabs>
        <w:adjustRightInd w:val="0"/>
        <w:snapToGrid w:val="0"/>
        <w:spacing w:beforeLines="100" w:afterLines="100" w:line="400" w:lineRule="exact"/>
        <w:ind w:left="851" w:hanging="851"/>
        <w:jc w:val="left"/>
        <w:rPr>
          <w:sz w:val="22"/>
          <w:szCs w:val="22"/>
        </w:rPr>
      </w:pPr>
      <w:r>
        <w:rPr>
          <w:rFonts w:hint="eastAsia"/>
          <w:sz w:val="22"/>
          <w:szCs w:val="22"/>
        </w:rPr>
        <w:t>除合同另有约定外，所有材料设备入场后由承包方负责保管。</w:t>
      </w:r>
    </w:p>
    <w:p>
      <w:pPr>
        <w:numPr>
          <w:ilvl w:val="0"/>
          <w:numId w:val="14"/>
        </w:numPr>
        <w:tabs>
          <w:tab w:val="left" w:pos="851"/>
        </w:tabs>
        <w:adjustRightInd w:val="0"/>
        <w:snapToGrid w:val="0"/>
        <w:spacing w:beforeLines="100" w:afterLines="100" w:line="400" w:lineRule="exact"/>
        <w:ind w:left="851" w:hanging="851"/>
        <w:jc w:val="left"/>
        <w:rPr>
          <w:sz w:val="22"/>
          <w:szCs w:val="22"/>
        </w:rPr>
      </w:pPr>
      <w:r>
        <w:rPr>
          <w:rFonts w:hint="eastAsia"/>
          <w:sz w:val="22"/>
          <w:szCs w:val="22"/>
        </w:rPr>
        <w:t>承包方需使用替换材料时，须经发包方代表批准方可使用，由此增减的费用双方议定。</w:t>
      </w:r>
    </w:p>
    <w:p>
      <w:pPr>
        <w:numPr>
          <w:ilvl w:val="0"/>
          <w:numId w:val="14"/>
        </w:numPr>
        <w:tabs>
          <w:tab w:val="left" w:pos="851"/>
        </w:tabs>
        <w:adjustRightInd w:val="0"/>
        <w:snapToGrid w:val="0"/>
        <w:spacing w:beforeLines="100" w:afterLines="100" w:line="400" w:lineRule="exact"/>
        <w:ind w:left="851" w:hanging="851"/>
        <w:jc w:val="left"/>
        <w:rPr>
          <w:sz w:val="22"/>
          <w:szCs w:val="22"/>
        </w:rPr>
      </w:pPr>
      <w:r>
        <w:rPr>
          <w:rFonts w:hint="eastAsia"/>
          <w:sz w:val="22"/>
          <w:szCs w:val="22"/>
        </w:rPr>
        <w:t>发包方委托承包方采购的材料设备，采购前，在价格、质量方面应取得发包方同意签证，价差由发包方承担。</w:t>
      </w:r>
    </w:p>
    <w:p>
      <w:pPr>
        <w:numPr>
          <w:ilvl w:val="0"/>
          <w:numId w:val="1"/>
        </w:numPr>
        <w:tabs>
          <w:tab w:val="left" w:pos="851"/>
        </w:tabs>
        <w:adjustRightInd w:val="0"/>
        <w:snapToGrid w:val="0"/>
        <w:spacing w:beforeLines="100" w:afterLines="100" w:line="400" w:lineRule="exact"/>
        <w:ind w:left="0" w:firstLine="0"/>
        <w:jc w:val="left"/>
        <w:rPr>
          <w:sz w:val="22"/>
          <w:szCs w:val="22"/>
        </w:rPr>
      </w:pPr>
      <w:r>
        <w:rPr>
          <w:rFonts w:hint="eastAsia" w:hAnsi="宋体"/>
          <w:sz w:val="22"/>
          <w:szCs w:val="22"/>
        </w:rPr>
        <w:t>工程保修</w:t>
      </w:r>
    </w:p>
    <w:p>
      <w:pPr>
        <w:numPr>
          <w:ilvl w:val="0"/>
          <w:numId w:val="15"/>
        </w:numPr>
        <w:tabs>
          <w:tab w:val="left" w:pos="851"/>
        </w:tabs>
        <w:adjustRightInd w:val="0"/>
        <w:snapToGrid w:val="0"/>
        <w:spacing w:beforeLines="100" w:afterLines="100" w:line="400" w:lineRule="exact"/>
        <w:ind w:left="851" w:hanging="851"/>
        <w:jc w:val="left"/>
        <w:rPr>
          <w:sz w:val="22"/>
          <w:szCs w:val="22"/>
        </w:rPr>
      </w:pPr>
      <w:r>
        <w:rPr>
          <w:rFonts w:hint="eastAsia" w:hAnsi="宋体"/>
          <w:sz w:val="22"/>
          <w:szCs w:val="22"/>
        </w:rPr>
        <w:t>保修金。发包方从应付承包方工程款内，按合同工程价款的</w:t>
      </w:r>
      <w:r>
        <w:rPr>
          <w:rFonts w:hint="eastAsia" w:hAnsi="宋体"/>
          <w:sz w:val="22"/>
          <w:szCs w:val="22"/>
          <w:lang w:val="en-US" w:eastAsia="zh-CN"/>
        </w:rPr>
        <w:t>5</w:t>
      </w:r>
      <w:r>
        <w:rPr>
          <w:sz w:val="22"/>
          <w:szCs w:val="22"/>
        </w:rPr>
        <w:t>%</w:t>
      </w:r>
      <w:r>
        <w:rPr>
          <w:rFonts w:hint="eastAsia" w:hAnsi="宋体"/>
          <w:sz w:val="22"/>
          <w:szCs w:val="22"/>
        </w:rPr>
        <w:t>预留工程保修费用。承包方未按照法律法规有关规定和合同约定履行质量保修义务的，发包方有权从质量保证金中扣留用于质量保修的各项支出。</w:t>
      </w:r>
    </w:p>
    <w:p>
      <w:pPr>
        <w:numPr>
          <w:ilvl w:val="0"/>
          <w:numId w:val="15"/>
        </w:numPr>
        <w:tabs>
          <w:tab w:val="left" w:pos="851"/>
        </w:tabs>
        <w:adjustRightInd w:val="0"/>
        <w:snapToGrid w:val="0"/>
        <w:spacing w:beforeLines="100" w:afterLines="100" w:line="400" w:lineRule="exact"/>
        <w:ind w:left="851" w:hanging="851"/>
        <w:jc w:val="left"/>
        <w:rPr>
          <w:rFonts w:hAnsi="宋体"/>
          <w:sz w:val="22"/>
          <w:szCs w:val="22"/>
          <w:u w:val="single"/>
        </w:rPr>
      </w:pPr>
      <w:r>
        <w:rPr>
          <w:rFonts w:hint="eastAsia" w:hAnsi="宋体"/>
          <w:sz w:val="22"/>
          <w:szCs w:val="22"/>
        </w:rPr>
        <w:t>保修期自工程竣工验收合格之日起算，并不得低于法定保修年限。</w:t>
      </w:r>
    </w:p>
    <w:p>
      <w:pPr>
        <w:tabs>
          <w:tab w:val="left" w:pos="851"/>
        </w:tabs>
        <w:adjustRightInd w:val="0"/>
        <w:snapToGrid w:val="0"/>
        <w:spacing w:beforeLines="100" w:afterLines="100" w:line="400" w:lineRule="exact"/>
        <w:ind w:left="851"/>
        <w:jc w:val="left"/>
        <w:rPr>
          <w:rFonts w:hAnsi="宋体"/>
          <w:sz w:val="22"/>
          <w:szCs w:val="22"/>
          <w:u w:val="single"/>
        </w:rPr>
      </w:pPr>
      <w:r>
        <w:rPr>
          <w:rFonts w:hint="eastAsia" w:hAnsi="宋体"/>
          <w:sz w:val="22"/>
          <w:szCs w:val="22"/>
        </w:rPr>
        <w:t>具体保修项目及保修期限：</w:t>
      </w:r>
      <w:r>
        <w:rPr>
          <w:rFonts w:hAnsi="宋体"/>
          <w:sz w:val="22"/>
          <w:szCs w:val="22"/>
          <w:u w:val="single"/>
        </w:rPr>
        <w:t xml:space="preserve">        </w:t>
      </w:r>
      <w:r>
        <w:rPr>
          <w:rFonts w:hint="eastAsia" w:hAnsi="宋体"/>
          <w:sz w:val="22"/>
          <w:szCs w:val="22"/>
          <w:u w:val="single"/>
          <w:lang w:val="en-US" w:eastAsia="zh-CN"/>
        </w:rPr>
        <w:t>/</w:t>
      </w:r>
      <w:r>
        <w:rPr>
          <w:rFonts w:hAnsi="宋体"/>
          <w:sz w:val="22"/>
          <w:szCs w:val="22"/>
          <w:u w:val="single"/>
        </w:rPr>
        <w:t xml:space="preserve">            </w:t>
      </w:r>
    </w:p>
    <w:p>
      <w:pPr>
        <w:numPr>
          <w:ilvl w:val="0"/>
          <w:numId w:val="15"/>
        </w:numPr>
        <w:tabs>
          <w:tab w:val="left" w:pos="851"/>
        </w:tabs>
        <w:adjustRightInd w:val="0"/>
        <w:snapToGrid w:val="0"/>
        <w:spacing w:beforeLines="100" w:afterLines="100" w:line="400" w:lineRule="exact"/>
        <w:ind w:left="851" w:hanging="851"/>
        <w:jc w:val="left"/>
        <w:rPr>
          <w:rFonts w:hAnsi="宋体"/>
          <w:sz w:val="22"/>
          <w:szCs w:val="22"/>
        </w:rPr>
      </w:pPr>
      <w:r>
        <w:rPr>
          <w:rFonts w:hint="eastAsia" w:hAnsi="宋体"/>
          <w:sz w:val="22"/>
          <w:szCs w:val="22"/>
        </w:rPr>
        <w:t>保修期间，属于保修范围和内容的项目出现工程质量问题，发包方提出要求，承包方应在接到修理通知后</w:t>
      </w:r>
      <w:r>
        <w:rPr>
          <w:rFonts w:hAnsi="宋体"/>
          <w:sz w:val="22"/>
          <w:szCs w:val="22"/>
        </w:rPr>
        <w:t>48</w:t>
      </w:r>
      <w:r>
        <w:rPr>
          <w:rFonts w:hint="eastAsia" w:hAnsi="宋体"/>
          <w:sz w:val="22"/>
          <w:szCs w:val="22"/>
        </w:rPr>
        <w:t>小时内派人修理。否则，发包方可委托其他单位和人员修理。因承包方原因造成返修的费用，发包方在保修金内扣除，不足部分由承包方支付。因承包方之外原因造成的返修经济支出由发包方承担。</w:t>
      </w:r>
    </w:p>
    <w:p>
      <w:pPr>
        <w:numPr>
          <w:ilvl w:val="0"/>
          <w:numId w:val="15"/>
        </w:numPr>
        <w:tabs>
          <w:tab w:val="left" w:pos="851"/>
        </w:tabs>
        <w:adjustRightInd w:val="0"/>
        <w:snapToGrid w:val="0"/>
        <w:spacing w:beforeLines="100" w:afterLines="100" w:line="400" w:lineRule="exact"/>
        <w:ind w:left="851" w:hanging="851"/>
        <w:jc w:val="left"/>
        <w:rPr>
          <w:rFonts w:hAnsi="宋体"/>
          <w:sz w:val="22"/>
          <w:szCs w:val="22"/>
        </w:rPr>
      </w:pPr>
      <w:r>
        <w:rPr>
          <w:rFonts w:hint="eastAsia" w:hAnsi="宋体"/>
          <w:sz w:val="22"/>
          <w:szCs w:val="22"/>
        </w:rPr>
        <w:t>约定的保修期限终止后，由承包方提出支付申请，发包方审核后根据政府财政制度的相关规定向财政部门办理尾款拨付手续，将剩余的保修金返还给承包方。保修金不计利息。剩余保修金的返还，并不能免除承包方按照合同约定应承担的质量保修责任和应履行的质量保修义务。</w:t>
      </w:r>
    </w:p>
    <w:p>
      <w:pPr>
        <w:numPr>
          <w:ilvl w:val="0"/>
          <w:numId w:val="1"/>
        </w:numPr>
        <w:tabs>
          <w:tab w:val="left" w:pos="851"/>
        </w:tabs>
        <w:adjustRightInd w:val="0"/>
        <w:snapToGrid w:val="0"/>
        <w:spacing w:beforeLines="100" w:afterLines="100" w:line="400" w:lineRule="exact"/>
        <w:ind w:left="0" w:firstLine="0"/>
        <w:jc w:val="left"/>
        <w:rPr>
          <w:sz w:val="22"/>
          <w:szCs w:val="22"/>
        </w:rPr>
      </w:pPr>
      <w:r>
        <w:rPr>
          <w:rFonts w:hint="eastAsia" w:hAnsi="宋体"/>
          <w:sz w:val="22"/>
          <w:szCs w:val="22"/>
        </w:rPr>
        <w:t>通讯联络</w:t>
      </w:r>
    </w:p>
    <w:p>
      <w:pPr>
        <w:numPr>
          <w:ilvl w:val="0"/>
          <w:numId w:val="16"/>
        </w:numPr>
        <w:tabs>
          <w:tab w:val="left" w:pos="851"/>
        </w:tabs>
        <w:adjustRightInd w:val="0"/>
        <w:snapToGrid w:val="0"/>
        <w:spacing w:beforeLines="100" w:afterLines="100" w:line="400" w:lineRule="exact"/>
        <w:ind w:hanging="840"/>
        <w:jc w:val="left"/>
        <w:rPr>
          <w:sz w:val="22"/>
          <w:szCs w:val="22"/>
        </w:rPr>
      </w:pPr>
      <w:r>
        <w:rPr>
          <w:rFonts w:hint="eastAsia" w:hAnsi="宋体"/>
          <w:sz w:val="22"/>
          <w:szCs w:val="22"/>
        </w:rPr>
        <w:t>发包方</w:t>
      </w:r>
    </w:p>
    <w:tbl>
      <w:tblPr>
        <w:tblStyle w:val="9"/>
        <w:tblW w:w="5812" w:type="dxa"/>
        <w:tblInd w:w="855" w:type="dxa"/>
        <w:tblLayout w:type="fixed"/>
        <w:tblCellMar>
          <w:top w:w="0" w:type="dxa"/>
          <w:left w:w="108" w:type="dxa"/>
          <w:bottom w:w="0" w:type="dxa"/>
          <w:right w:w="108" w:type="dxa"/>
        </w:tblCellMar>
      </w:tblPr>
      <w:tblGrid>
        <w:gridCol w:w="1242"/>
        <w:gridCol w:w="284"/>
        <w:gridCol w:w="4286"/>
      </w:tblGrid>
      <w:tr>
        <w:tblPrEx>
          <w:tblLayout w:type="fixed"/>
          <w:tblCellMar>
            <w:top w:w="0" w:type="dxa"/>
            <w:left w:w="108" w:type="dxa"/>
            <w:bottom w:w="0" w:type="dxa"/>
            <w:right w:w="108" w:type="dxa"/>
          </w:tblCellMar>
        </w:tblPrEx>
        <w:tc>
          <w:tcPr>
            <w:tcW w:w="1242" w:type="dxa"/>
          </w:tcPr>
          <w:p>
            <w:pPr>
              <w:tabs>
                <w:tab w:val="left" w:pos="851"/>
              </w:tabs>
              <w:adjustRightInd w:val="0"/>
              <w:snapToGrid w:val="0"/>
              <w:spacing w:line="400" w:lineRule="exact"/>
              <w:jc w:val="left"/>
              <w:rPr>
                <w:rFonts w:hAnsi="宋体"/>
                <w:sz w:val="22"/>
                <w:szCs w:val="22"/>
              </w:rPr>
            </w:pPr>
            <w:r>
              <w:rPr>
                <w:rFonts w:hint="eastAsia" w:hAnsi="宋体"/>
                <w:sz w:val="22"/>
                <w:szCs w:val="22"/>
              </w:rPr>
              <w:t>通讯地址</w:t>
            </w:r>
          </w:p>
        </w:tc>
        <w:tc>
          <w:tcPr>
            <w:tcW w:w="284" w:type="dxa"/>
          </w:tcPr>
          <w:p>
            <w:pPr>
              <w:tabs>
                <w:tab w:val="left" w:pos="851"/>
              </w:tabs>
              <w:adjustRightInd w:val="0"/>
              <w:snapToGrid w:val="0"/>
              <w:spacing w:line="400" w:lineRule="exact"/>
              <w:jc w:val="left"/>
              <w:rPr>
                <w:rFonts w:hAnsi="宋体"/>
                <w:sz w:val="22"/>
                <w:szCs w:val="22"/>
              </w:rPr>
            </w:pPr>
            <w:r>
              <w:rPr>
                <w:rFonts w:hAnsi="宋体"/>
                <w:sz w:val="22"/>
                <w:szCs w:val="22"/>
              </w:rPr>
              <w:t>:</w:t>
            </w:r>
          </w:p>
        </w:tc>
        <w:tc>
          <w:tcPr>
            <w:tcW w:w="4286" w:type="dxa"/>
          </w:tcPr>
          <w:p>
            <w:pPr>
              <w:tabs>
                <w:tab w:val="left" w:pos="851"/>
              </w:tabs>
              <w:adjustRightInd w:val="0"/>
              <w:snapToGrid w:val="0"/>
              <w:spacing w:line="400" w:lineRule="exact"/>
              <w:ind w:left="31680" w:hanging="220" w:hangingChars="100"/>
              <w:jc w:val="left"/>
              <w:rPr>
                <w:rFonts w:hAnsi="宋体"/>
                <w:sz w:val="22"/>
                <w:szCs w:val="22"/>
              </w:rPr>
            </w:pPr>
            <w:r>
              <w:rPr>
                <w:rFonts w:hint="eastAsia" w:hAnsi="宋体"/>
                <w:sz w:val="22"/>
                <w:szCs w:val="22"/>
              </w:rPr>
              <w:t>广州市白云区嘉禾上胜东街</w:t>
            </w:r>
            <w:r>
              <w:rPr>
                <w:rFonts w:hAnsi="宋体"/>
                <w:sz w:val="22"/>
                <w:szCs w:val="22"/>
              </w:rPr>
              <w:t>23</w:t>
            </w:r>
            <w:r>
              <w:rPr>
                <w:rFonts w:hint="eastAsia" w:hAnsi="宋体"/>
                <w:sz w:val="22"/>
                <w:szCs w:val="22"/>
              </w:rPr>
              <w:t>号</w:t>
            </w:r>
          </w:p>
        </w:tc>
      </w:tr>
      <w:tr>
        <w:tblPrEx>
          <w:tblLayout w:type="fixed"/>
          <w:tblCellMar>
            <w:top w:w="0" w:type="dxa"/>
            <w:left w:w="108" w:type="dxa"/>
            <w:bottom w:w="0" w:type="dxa"/>
            <w:right w:w="108" w:type="dxa"/>
          </w:tblCellMar>
        </w:tblPrEx>
        <w:tc>
          <w:tcPr>
            <w:tcW w:w="1242" w:type="dxa"/>
          </w:tcPr>
          <w:p>
            <w:pPr>
              <w:tabs>
                <w:tab w:val="left" w:pos="851"/>
              </w:tabs>
              <w:adjustRightInd w:val="0"/>
              <w:snapToGrid w:val="0"/>
              <w:spacing w:line="400" w:lineRule="exact"/>
              <w:jc w:val="left"/>
              <w:rPr>
                <w:rFonts w:hAnsi="宋体"/>
                <w:sz w:val="22"/>
                <w:szCs w:val="22"/>
              </w:rPr>
            </w:pPr>
            <w:r>
              <w:rPr>
                <w:rFonts w:hint="eastAsia" w:hAnsi="宋体"/>
                <w:sz w:val="22"/>
                <w:szCs w:val="22"/>
              </w:rPr>
              <w:t>邮政编码</w:t>
            </w:r>
          </w:p>
        </w:tc>
        <w:tc>
          <w:tcPr>
            <w:tcW w:w="284" w:type="dxa"/>
          </w:tcPr>
          <w:p>
            <w:pPr>
              <w:tabs>
                <w:tab w:val="left" w:pos="851"/>
              </w:tabs>
              <w:adjustRightInd w:val="0"/>
              <w:snapToGrid w:val="0"/>
              <w:spacing w:line="400" w:lineRule="exact"/>
              <w:jc w:val="left"/>
              <w:rPr>
                <w:rFonts w:hAnsi="宋体"/>
                <w:sz w:val="22"/>
                <w:szCs w:val="22"/>
              </w:rPr>
            </w:pPr>
            <w:r>
              <w:rPr>
                <w:rFonts w:hAnsi="宋体"/>
                <w:sz w:val="22"/>
                <w:szCs w:val="22"/>
              </w:rPr>
              <w:t>:</w:t>
            </w:r>
          </w:p>
        </w:tc>
        <w:tc>
          <w:tcPr>
            <w:tcW w:w="4286" w:type="dxa"/>
          </w:tcPr>
          <w:p>
            <w:pPr>
              <w:tabs>
                <w:tab w:val="left" w:pos="851"/>
              </w:tabs>
              <w:adjustRightInd w:val="0"/>
              <w:snapToGrid w:val="0"/>
              <w:spacing w:line="400" w:lineRule="exact"/>
              <w:jc w:val="left"/>
              <w:rPr>
                <w:rFonts w:hAnsi="宋体"/>
                <w:sz w:val="22"/>
                <w:szCs w:val="22"/>
                <w:u w:val="single"/>
              </w:rPr>
            </w:pPr>
          </w:p>
        </w:tc>
      </w:tr>
      <w:tr>
        <w:tblPrEx>
          <w:tblLayout w:type="fixed"/>
          <w:tblCellMar>
            <w:top w:w="0" w:type="dxa"/>
            <w:left w:w="108" w:type="dxa"/>
            <w:bottom w:w="0" w:type="dxa"/>
            <w:right w:w="108" w:type="dxa"/>
          </w:tblCellMar>
        </w:tblPrEx>
        <w:tc>
          <w:tcPr>
            <w:tcW w:w="1242" w:type="dxa"/>
          </w:tcPr>
          <w:p>
            <w:pPr>
              <w:tabs>
                <w:tab w:val="left" w:pos="851"/>
              </w:tabs>
              <w:adjustRightInd w:val="0"/>
              <w:snapToGrid w:val="0"/>
              <w:spacing w:line="400" w:lineRule="exact"/>
              <w:jc w:val="left"/>
              <w:rPr>
                <w:rFonts w:hAnsi="宋体"/>
                <w:sz w:val="22"/>
                <w:szCs w:val="22"/>
              </w:rPr>
            </w:pPr>
            <w:r>
              <w:rPr>
                <w:rFonts w:hint="eastAsia" w:hAnsi="宋体"/>
                <w:sz w:val="22"/>
                <w:szCs w:val="22"/>
              </w:rPr>
              <w:t>传真</w:t>
            </w:r>
          </w:p>
        </w:tc>
        <w:tc>
          <w:tcPr>
            <w:tcW w:w="284" w:type="dxa"/>
          </w:tcPr>
          <w:p>
            <w:pPr>
              <w:tabs>
                <w:tab w:val="left" w:pos="851"/>
              </w:tabs>
              <w:adjustRightInd w:val="0"/>
              <w:snapToGrid w:val="0"/>
              <w:spacing w:line="400" w:lineRule="exact"/>
              <w:jc w:val="left"/>
              <w:rPr>
                <w:rFonts w:hAnsi="宋体"/>
                <w:sz w:val="22"/>
                <w:szCs w:val="22"/>
              </w:rPr>
            </w:pPr>
            <w:r>
              <w:rPr>
                <w:rFonts w:hAnsi="宋体"/>
                <w:sz w:val="22"/>
                <w:szCs w:val="22"/>
              </w:rPr>
              <w:t>:</w:t>
            </w:r>
          </w:p>
        </w:tc>
        <w:tc>
          <w:tcPr>
            <w:tcW w:w="4286" w:type="dxa"/>
          </w:tcPr>
          <w:p>
            <w:pPr>
              <w:tabs>
                <w:tab w:val="left" w:pos="851"/>
              </w:tabs>
              <w:adjustRightInd w:val="0"/>
              <w:snapToGrid w:val="0"/>
              <w:spacing w:line="400" w:lineRule="exact"/>
              <w:jc w:val="left"/>
              <w:rPr>
                <w:rFonts w:hAnsi="宋体"/>
                <w:sz w:val="22"/>
                <w:szCs w:val="22"/>
              </w:rPr>
            </w:pPr>
          </w:p>
        </w:tc>
      </w:tr>
      <w:tr>
        <w:tblPrEx>
          <w:tblLayout w:type="fixed"/>
          <w:tblCellMar>
            <w:top w:w="0" w:type="dxa"/>
            <w:left w:w="108" w:type="dxa"/>
            <w:bottom w:w="0" w:type="dxa"/>
            <w:right w:w="108" w:type="dxa"/>
          </w:tblCellMar>
        </w:tblPrEx>
        <w:tc>
          <w:tcPr>
            <w:tcW w:w="1242" w:type="dxa"/>
          </w:tcPr>
          <w:p>
            <w:pPr>
              <w:tabs>
                <w:tab w:val="left" w:pos="851"/>
              </w:tabs>
              <w:adjustRightInd w:val="0"/>
              <w:snapToGrid w:val="0"/>
              <w:spacing w:line="400" w:lineRule="exact"/>
              <w:jc w:val="left"/>
              <w:rPr>
                <w:rFonts w:hAnsi="宋体"/>
                <w:sz w:val="22"/>
                <w:szCs w:val="22"/>
              </w:rPr>
            </w:pPr>
            <w:r>
              <w:rPr>
                <w:rFonts w:hint="eastAsia" w:hAnsi="宋体"/>
                <w:sz w:val="22"/>
                <w:szCs w:val="22"/>
              </w:rPr>
              <w:t>邮箱</w:t>
            </w:r>
          </w:p>
        </w:tc>
        <w:tc>
          <w:tcPr>
            <w:tcW w:w="284" w:type="dxa"/>
          </w:tcPr>
          <w:p>
            <w:pPr>
              <w:tabs>
                <w:tab w:val="left" w:pos="851"/>
              </w:tabs>
              <w:adjustRightInd w:val="0"/>
              <w:snapToGrid w:val="0"/>
              <w:spacing w:line="400" w:lineRule="exact"/>
              <w:jc w:val="left"/>
              <w:rPr>
                <w:rFonts w:hAnsi="宋体"/>
                <w:sz w:val="22"/>
                <w:szCs w:val="22"/>
              </w:rPr>
            </w:pPr>
            <w:r>
              <w:rPr>
                <w:rFonts w:hAnsi="宋体"/>
                <w:sz w:val="22"/>
                <w:szCs w:val="22"/>
              </w:rPr>
              <w:t>:</w:t>
            </w:r>
          </w:p>
        </w:tc>
        <w:tc>
          <w:tcPr>
            <w:tcW w:w="4286" w:type="dxa"/>
          </w:tcPr>
          <w:p>
            <w:pPr>
              <w:tabs>
                <w:tab w:val="left" w:pos="851"/>
              </w:tabs>
              <w:adjustRightInd w:val="0"/>
              <w:snapToGrid w:val="0"/>
              <w:spacing w:line="400" w:lineRule="exact"/>
              <w:jc w:val="left"/>
              <w:rPr>
                <w:rFonts w:hint="eastAsia" w:hAnsi="宋体" w:eastAsia="宋体"/>
                <w:sz w:val="22"/>
                <w:szCs w:val="22"/>
                <w:lang w:val="en-US" w:eastAsia="zh-CN"/>
              </w:rPr>
            </w:pPr>
            <w:r>
              <w:rPr>
                <w:rFonts w:hint="eastAsia" w:hAnsi="宋体"/>
                <w:sz w:val="22"/>
                <w:szCs w:val="22"/>
                <w:lang w:val="en-US" w:eastAsia="zh-CN"/>
              </w:rPr>
              <w:t>.</w:t>
            </w:r>
          </w:p>
        </w:tc>
      </w:tr>
      <w:tr>
        <w:tblPrEx>
          <w:tblLayout w:type="fixed"/>
          <w:tblCellMar>
            <w:top w:w="0" w:type="dxa"/>
            <w:left w:w="108" w:type="dxa"/>
            <w:bottom w:w="0" w:type="dxa"/>
            <w:right w:w="108" w:type="dxa"/>
          </w:tblCellMar>
        </w:tblPrEx>
        <w:tc>
          <w:tcPr>
            <w:tcW w:w="1242" w:type="dxa"/>
          </w:tcPr>
          <w:p>
            <w:pPr>
              <w:tabs>
                <w:tab w:val="left" w:pos="851"/>
              </w:tabs>
              <w:adjustRightInd w:val="0"/>
              <w:snapToGrid w:val="0"/>
              <w:spacing w:line="400" w:lineRule="exact"/>
              <w:jc w:val="left"/>
              <w:rPr>
                <w:rFonts w:hAnsi="宋体"/>
                <w:sz w:val="22"/>
                <w:szCs w:val="22"/>
              </w:rPr>
            </w:pPr>
            <w:r>
              <w:rPr>
                <w:rFonts w:hint="eastAsia" w:hAnsi="宋体"/>
                <w:sz w:val="22"/>
                <w:szCs w:val="22"/>
              </w:rPr>
              <w:t>联系人</w:t>
            </w:r>
          </w:p>
        </w:tc>
        <w:tc>
          <w:tcPr>
            <w:tcW w:w="284" w:type="dxa"/>
          </w:tcPr>
          <w:p>
            <w:pPr>
              <w:tabs>
                <w:tab w:val="left" w:pos="851"/>
              </w:tabs>
              <w:adjustRightInd w:val="0"/>
              <w:snapToGrid w:val="0"/>
              <w:spacing w:line="400" w:lineRule="exact"/>
              <w:jc w:val="left"/>
              <w:rPr>
                <w:rFonts w:hAnsi="宋体"/>
                <w:sz w:val="22"/>
                <w:szCs w:val="22"/>
              </w:rPr>
            </w:pPr>
            <w:r>
              <w:rPr>
                <w:rFonts w:hAnsi="宋体"/>
                <w:sz w:val="22"/>
                <w:szCs w:val="22"/>
              </w:rPr>
              <w:t>:</w:t>
            </w:r>
          </w:p>
        </w:tc>
        <w:tc>
          <w:tcPr>
            <w:tcW w:w="4286" w:type="dxa"/>
          </w:tcPr>
          <w:p>
            <w:pPr>
              <w:tabs>
                <w:tab w:val="left" w:pos="851"/>
              </w:tabs>
              <w:adjustRightInd w:val="0"/>
              <w:snapToGrid w:val="0"/>
              <w:spacing w:line="400" w:lineRule="exact"/>
              <w:jc w:val="left"/>
              <w:rPr>
                <w:rFonts w:hAnsi="宋体"/>
                <w:sz w:val="22"/>
                <w:szCs w:val="22"/>
                <w:u w:val="single"/>
              </w:rPr>
            </w:pPr>
          </w:p>
        </w:tc>
      </w:tr>
      <w:tr>
        <w:tblPrEx>
          <w:tblLayout w:type="fixed"/>
          <w:tblCellMar>
            <w:top w:w="0" w:type="dxa"/>
            <w:left w:w="108" w:type="dxa"/>
            <w:bottom w:w="0" w:type="dxa"/>
            <w:right w:w="108" w:type="dxa"/>
          </w:tblCellMar>
        </w:tblPrEx>
        <w:trPr>
          <w:trHeight w:val="118" w:hRule="atLeast"/>
        </w:trPr>
        <w:tc>
          <w:tcPr>
            <w:tcW w:w="1242" w:type="dxa"/>
          </w:tcPr>
          <w:p>
            <w:pPr>
              <w:tabs>
                <w:tab w:val="left" w:pos="851"/>
              </w:tabs>
              <w:adjustRightInd w:val="0"/>
              <w:snapToGrid w:val="0"/>
              <w:spacing w:line="400" w:lineRule="exact"/>
              <w:jc w:val="left"/>
              <w:rPr>
                <w:sz w:val="22"/>
                <w:szCs w:val="22"/>
              </w:rPr>
            </w:pPr>
            <w:r>
              <w:rPr>
                <w:rFonts w:hint="eastAsia" w:hAnsi="宋体"/>
                <w:sz w:val="22"/>
                <w:szCs w:val="22"/>
              </w:rPr>
              <w:t>联系电话</w:t>
            </w:r>
          </w:p>
        </w:tc>
        <w:tc>
          <w:tcPr>
            <w:tcW w:w="284" w:type="dxa"/>
          </w:tcPr>
          <w:p>
            <w:pPr>
              <w:tabs>
                <w:tab w:val="left" w:pos="851"/>
              </w:tabs>
              <w:adjustRightInd w:val="0"/>
              <w:snapToGrid w:val="0"/>
              <w:spacing w:line="400" w:lineRule="exact"/>
              <w:jc w:val="left"/>
              <w:rPr>
                <w:rFonts w:hAnsi="宋体"/>
                <w:sz w:val="22"/>
                <w:szCs w:val="22"/>
              </w:rPr>
            </w:pPr>
            <w:r>
              <w:rPr>
                <w:rFonts w:hAnsi="宋体"/>
                <w:sz w:val="22"/>
                <w:szCs w:val="22"/>
              </w:rPr>
              <w:t>:</w:t>
            </w:r>
          </w:p>
        </w:tc>
        <w:tc>
          <w:tcPr>
            <w:tcW w:w="4286" w:type="dxa"/>
          </w:tcPr>
          <w:p>
            <w:pPr>
              <w:tabs>
                <w:tab w:val="left" w:pos="851"/>
              </w:tabs>
              <w:adjustRightInd w:val="0"/>
              <w:snapToGrid w:val="0"/>
              <w:spacing w:line="400" w:lineRule="exact"/>
              <w:jc w:val="left"/>
              <w:rPr>
                <w:rFonts w:hAnsi="宋体"/>
                <w:sz w:val="22"/>
                <w:szCs w:val="22"/>
                <w:u w:val="single"/>
              </w:rPr>
            </w:pPr>
          </w:p>
        </w:tc>
      </w:tr>
    </w:tbl>
    <w:p>
      <w:pPr>
        <w:numPr>
          <w:ilvl w:val="0"/>
          <w:numId w:val="16"/>
        </w:numPr>
        <w:tabs>
          <w:tab w:val="left" w:pos="851"/>
        </w:tabs>
        <w:adjustRightInd w:val="0"/>
        <w:snapToGrid w:val="0"/>
        <w:spacing w:beforeLines="100" w:afterLines="100" w:line="400" w:lineRule="exact"/>
        <w:ind w:left="0" w:firstLine="0"/>
        <w:jc w:val="left"/>
        <w:rPr>
          <w:sz w:val="22"/>
          <w:szCs w:val="22"/>
        </w:rPr>
      </w:pPr>
      <w:r>
        <w:rPr>
          <w:rFonts w:hint="eastAsia" w:hAnsi="宋体"/>
          <w:sz w:val="22"/>
          <w:szCs w:val="22"/>
        </w:rPr>
        <w:t>承包方</w:t>
      </w:r>
      <w:r>
        <w:rPr>
          <w:rFonts w:hAnsi="宋体"/>
          <w:sz w:val="22"/>
          <w:szCs w:val="22"/>
        </w:rPr>
        <w:t xml:space="preserve">      : </w:t>
      </w:r>
      <w:r>
        <w:rPr>
          <w:rFonts w:hint="eastAsia"/>
          <w:b/>
          <w:snapToGrid w:val="0"/>
          <w:sz w:val="22"/>
          <w:szCs w:val="22"/>
          <w:lang w:eastAsia="zh-CN"/>
        </w:rPr>
        <w:t>广州潮润建设有限公司</w:t>
      </w:r>
    </w:p>
    <w:tbl>
      <w:tblPr>
        <w:tblStyle w:val="9"/>
        <w:tblW w:w="5826" w:type="dxa"/>
        <w:tblInd w:w="864" w:type="dxa"/>
        <w:tblLayout w:type="fixed"/>
        <w:tblCellMar>
          <w:top w:w="0" w:type="dxa"/>
          <w:left w:w="108" w:type="dxa"/>
          <w:bottom w:w="0" w:type="dxa"/>
          <w:right w:w="108" w:type="dxa"/>
        </w:tblCellMar>
      </w:tblPr>
      <w:tblGrid>
        <w:gridCol w:w="1246"/>
        <w:gridCol w:w="294"/>
        <w:gridCol w:w="4286"/>
      </w:tblGrid>
      <w:tr>
        <w:tblPrEx>
          <w:tblLayout w:type="fixed"/>
          <w:tblCellMar>
            <w:top w:w="0" w:type="dxa"/>
            <w:left w:w="108" w:type="dxa"/>
            <w:bottom w:w="0" w:type="dxa"/>
            <w:right w:w="108" w:type="dxa"/>
          </w:tblCellMar>
        </w:tblPrEx>
        <w:tc>
          <w:tcPr>
            <w:tcW w:w="1246" w:type="dxa"/>
          </w:tcPr>
          <w:p>
            <w:pPr>
              <w:tabs>
                <w:tab w:val="left" w:pos="851"/>
              </w:tabs>
              <w:adjustRightInd w:val="0"/>
              <w:snapToGrid w:val="0"/>
              <w:spacing w:line="400" w:lineRule="exact"/>
              <w:jc w:val="left"/>
              <w:rPr>
                <w:rFonts w:hAnsi="宋体"/>
                <w:sz w:val="22"/>
                <w:szCs w:val="22"/>
              </w:rPr>
            </w:pPr>
            <w:r>
              <w:rPr>
                <w:rFonts w:hint="eastAsia" w:hAnsi="宋体"/>
                <w:sz w:val="22"/>
                <w:szCs w:val="22"/>
              </w:rPr>
              <w:t>通讯地址</w:t>
            </w:r>
          </w:p>
        </w:tc>
        <w:tc>
          <w:tcPr>
            <w:tcW w:w="294" w:type="dxa"/>
          </w:tcPr>
          <w:p>
            <w:pPr>
              <w:tabs>
                <w:tab w:val="left" w:pos="851"/>
              </w:tabs>
              <w:adjustRightInd w:val="0"/>
              <w:snapToGrid w:val="0"/>
              <w:spacing w:line="400" w:lineRule="exact"/>
              <w:jc w:val="left"/>
              <w:rPr>
                <w:rFonts w:hAnsi="宋体"/>
                <w:sz w:val="22"/>
                <w:szCs w:val="22"/>
              </w:rPr>
            </w:pPr>
            <w:r>
              <w:rPr>
                <w:rFonts w:hAnsi="宋体"/>
                <w:sz w:val="22"/>
                <w:szCs w:val="22"/>
              </w:rPr>
              <w:t>:</w:t>
            </w:r>
          </w:p>
        </w:tc>
        <w:tc>
          <w:tcPr>
            <w:tcW w:w="4286" w:type="dxa"/>
          </w:tcPr>
          <w:p>
            <w:pPr>
              <w:tabs>
                <w:tab w:val="left" w:pos="851"/>
              </w:tabs>
              <w:adjustRightInd w:val="0"/>
              <w:snapToGrid w:val="0"/>
              <w:spacing w:line="400" w:lineRule="exact"/>
              <w:jc w:val="left"/>
              <w:rPr>
                <w:rFonts w:hint="eastAsia" w:hAnsi="宋体" w:eastAsia="宋体"/>
                <w:sz w:val="22"/>
                <w:szCs w:val="22"/>
                <w:u w:val="none"/>
                <w:lang w:eastAsia="zh-CN"/>
              </w:rPr>
            </w:pPr>
          </w:p>
        </w:tc>
      </w:tr>
      <w:tr>
        <w:tblPrEx>
          <w:tblLayout w:type="fixed"/>
          <w:tblCellMar>
            <w:top w:w="0" w:type="dxa"/>
            <w:left w:w="108" w:type="dxa"/>
            <w:bottom w:w="0" w:type="dxa"/>
            <w:right w:w="108" w:type="dxa"/>
          </w:tblCellMar>
        </w:tblPrEx>
        <w:tc>
          <w:tcPr>
            <w:tcW w:w="1246" w:type="dxa"/>
          </w:tcPr>
          <w:p>
            <w:pPr>
              <w:tabs>
                <w:tab w:val="left" w:pos="851"/>
              </w:tabs>
              <w:adjustRightInd w:val="0"/>
              <w:snapToGrid w:val="0"/>
              <w:spacing w:line="400" w:lineRule="exact"/>
              <w:jc w:val="left"/>
              <w:rPr>
                <w:rFonts w:hAnsi="宋体"/>
                <w:sz w:val="22"/>
                <w:szCs w:val="22"/>
              </w:rPr>
            </w:pPr>
            <w:r>
              <w:rPr>
                <w:rFonts w:hint="eastAsia" w:hAnsi="宋体"/>
                <w:sz w:val="22"/>
                <w:szCs w:val="22"/>
              </w:rPr>
              <w:t>邮政编码</w:t>
            </w:r>
          </w:p>
        </w:tc>
        <w:tc>
          <w:tcPr>
            <w:tcW w:w="294" w:type="dxa"/>
          </w:tcPr>
          <w:p>
            <w:pPr>
              <w:tabs>
                <w:tab w:val="left" w:pos="851"/>
              </w:tabs>
              <w:adjustRightInd w:val="0"/>
              <w:snapToGrid w:val="0"/>
              <w:spacing w:line="400" w:lineRule="exact"/>
              <w:jc w:val="left"/>
              <w:rPr>
                <w:rFonts w:hAnsi="宋体"/>
                <w:sz w:val="22"/>
                <w:szCs w:val="22"/>
              </w:rPr>
            </w:pPr>
            <w:r>
              <w:rPr>
                <w:rFonts w:hAnsi="宋体"/>
                <w:sz w:val="22"/>
                <w:szCs w:val="22"/>
              </w:rPr>
              <w:t>:</w:t>
            </w:r>
          </w:p>
        </w:tc>
        <w:tc>
          <w:tcPr>
            <w:tcW w:w="4286" w:type="dxa"/>
          </w:tcPr>
          <w:p>
            <w:pPr>
              <w:tabs>
                <w:tab w:val="left" w:pos="851"/>
              </w:tabs>
              <w:adjustRightInd w:val="0"/>
              <w:snapToGrid w:val="0"/>
              <w:spacing w:line="400" w:lineRule="exact"/>
              <w:jc w:val="left"/>
              <w:rPr>
                <w:rFonts w:hAnsi="宋体"/>
                <w:sz w:val="22"/>
                <w:szCs w:val="22"/>
                <w:u w:val="none"/>
              </w:rPr>
            </w:pPr>
            <w:r>
              <w:rPr>
                <w:rFonts w:hAnsi="宋体"/>
                <w:sz w:val="22"/>
                <w:szCs w:val="22"/>
                <w:u w:val="none"/>
              </w:rPr>
              <w:t>_</w:t>
            </w:r>
            <w:r>
              <w:rPr>
                <w:rFonts w:hint="eastAsia" w:hAnsi="宋体"/>
                <w:sz w:val="22"/>
                <w:szCs w:val="22"/>
                <w:u w:val="single"/>
                <w:lang w:val="en-US" w:eastAsia="zh-CN"/>
              </w:rPr>
              <w:t xml:space="preserve">          </w:t>
            </w:r>
          </w:p>
        </w:tc>
      </w:tr>
      <w:tr>
        <w:tblPrEx>
          <w:tblLayout w:type="fixed"/>
          <w:tblCellMar>
            <w:top w:w="0" w:type="dxa"/>
            <w:left w:w="108" w:type="dxa"/>
            <w:bottom w:w="0" w:type="dxa"/>
            <w:right w:w="108" w:type="dxa"/>
          </w:tblCellMar>
        </w:tblPrEx>
        <w:tc>
          <w:tcPr>
            <w:tcW w:w="1246" w:type="dxa"/>
          </w:tcPr>
          <w:p>
            <w:pPr>
              <w:tabs>
                <w:tab w:val="left" w:pos="851"/>
              </w:tabs>
              <w:adjustRightInd w:val="0"/>
              <w:snapToGrid w:val="0"/>
              <w:spacing w:line="400" w:lineRule="exact"/>
              <w:jc w:val="left"/>
              <w:rPr>
                <w:rFonts w:hAnsi="宋体"/>
                <w:sz w:val="22"/>
                <w:szCs w:val="22"/>
              </w:rPr>
            </w:pPr>
            <w:r>
              <w:rPr>
                <w:rFonts w:hint="eastAsia" w:hAnsi="宋体"/>
                <w:sz w:val="22"/>
                <w:szCs w:val="22"/>
              </w:rPr>
              <w:t>传真</w:t>
            </w:r>
          </w:p>
        </w:tc>
        <w:tc>
          <w:tcPr>
            <w:tcW w:w="294" w:type="dxa"/>
          </w:tcPr>
          <w:p>
            <w:pPr>
              <w:tabs>
                <w:tab w:val="left" w:pos="851"/>
              </w:tabs>
              <w:adjustRightInd w:val="0"/>
              <w:snapToGrid w:val="0"/>
              <w:spacing w:line="400" w:lineRule="exact"/>
              <w:jc w:val="left"/>
              <w:rPr>
                <w:rFonts w:hAnsi="宋体"/>
                <w:sz w:val="22"/>
                <w:szCs w:val="22"/>
              </w:rPr>
            </w:pPr>
            <w:r>
              <w:rPr>
                <w:rFonts w:hAnsi="宋体"/>
                <w:sz w:val="22"/>
                <w:szCs w:val="22"/>
              </w:rPr>
              <w:t>:</w:t>
            </w:r>
          </w:p>
        </w:tc>
        <w:tc>
          <w:tcPr>
            <w:tcW w:w="4286" w:type="dxa"/>
          </w:tcPr>
          <w:p>
            <w:pPr>
              <w:tabs>
                <w:tab w:val="left" w:pos="851"/>
              </w:tabs>
              <w:adjustRightInd w:val="0"/>
              <w:snapToGrid w:val="0"/>
              <w:spacing w:line="400" w:lineRule="exact"/>
              <w:jc w:val="left"/>
              <w:rPr>
                <w:rFonts w:hAnsi="宋体"/>
                <w:sz w:val="22"/>
                <w:szCs w:val="22"/>
              </w:rPr>
            </w:pPr>
            <w:r>
              <w:rPr>
                <w:rFonts w:hAnsi="宋体"/>
                <w:sz w:val="22"/>
                <w:szCs w:val="22"/>
                <w:u w:val="single"/>
              </w:rPr>
              <w:t>_______</w:t>
            </w:r>
          </w:p>
        </w:tc>
      </w:tr>
      <w:tr>
        <w:tblPrEx>
          <w:tblLayout w:type="fixed"/>
          <w:tblCellMar>
            <w:top w:w="0" w:type="dxa"/>
            <w:left w:w="108" w:type="dxa"/>
            <w:bottom w:w="0" w:type="dxa"/>
            <w:right w:w="108" w:type="dxa"/>
          </w:tblCellMar>
        </w:tblPrEx>
        <w:tc>
          <w:tcPr>
            <w:tcW w:w="1246" w:type="dxa"/>
          </w:tcPr>
          <w:p>
            <w:pPr>
              <w:tabs>
                <w:tab w:val="left" w:pos="851"/>
              </w:tabs>
              <w:adjustRightInd w:val="0"/>
              <w:snapToGrid w:val="0"/>
              <w:spacing w:line="400" w:lineRule="exact"/>
              <w:jc w:val="left"/>
              <w:rPr>
                <w:rFonts w:hAnsi="宋体"/>
                <w:sz w:val="22"/>
                <w:szCs w:val="22"/>
              </w:rPr>
            </w:pPr>
            <w:r>
              <w:rPr>
                <w:rFonts w:hint="eastAsia" w:hAnsi="宋体"/>
                <w:sz w:val="22"/>
                <w:szCs w:val="22"/>
              </w:rPr>
              <w:t>邮箱</w:t>
            </w:r>
          </w:p>
        </w:tc>
        <w:tc>
          <w:tcPr>
            <w:tcW w:w="294" w:type="dxa"/>
          </w:tcPr>
          <w:p>
            <w:pPr>
              <w:tabs>
                <w:tab w:val="left" w:pos="851"/>
              </w:tabs>
              <w:adjustRightInd w:val="0"/>
              <w:snapToGrid w:val="0"/>
              <w:spacing w:line="400" w:lineRule="exact"/>
              <w:jc w:val="left"/>
              <w:rPr>
                <w:rFonts w:hAnsi="宋体"/>
                <w:sz w:val="22"/>
                <w:szCs w:val="22"/>
              </w:rPr>
            </w:pPr>
            <w:r>
              <w:rPr>
                <w:rFonts w:hAnsi="宋体"/>
                <w:sz w:val="22"/>
                <w:szCs w:val="22"/>
              </w:rPr>
              <w:t>:</w:t>
            </w:r>
          </w:p>
        </w:tc>
        <w:tc>
          <w:tcPr>
            <w:tcW w:w="4286" w:type="dxa"/>
          </w:tcPr>
          <w:p>
            <w:pPr>
              <w:tabs>
                <w:tab w:val="left" w:pos="851"/>
              </w:tabs>
              <w:adjustRightInd w:val="0"/>
              <w:snapToGrid w:val="0"/>
              <w:spacing w:line="400" w:lineRule="exact"/>
              <w:jc w:val="left"/>
              <w:rPr>
                <w:rFonts w:hAnsi="宋体"/>
                <w:sz w:val="22"/>
                <w:szCs w:val="22"/>
              </w:rPr>
            </w:pPr>
          </w:p>
        </w:tc>
      </w:tr>
      <w:tr>
        <w:tblPrEx>
          <w:tblLayout w:type="fixed"/>
          <w:tblCellMar>
            <w:top w:w="0" w:type="dxa"/>
            <w:left w:w="108" w:type="dxa"/>
            <w:bottom w:w="0" w:type="dxa"/>
            <w:right w:w="108" w:type="dxa"/>
          </w:tblCellMar>
        </w:tblPrEx>
        <w:tc>
          <w:tcPr>
            <w:tcW w:w="1246" w:type="dxa"/>
          </w:tcPr>
          <w:p>
            <w:pPr>
              <w:tabs>
                <w:tab w:val="left" w:pos="851"/>
              </w:tabs>
              <w:adjustRightInd w:val="0"/>
              <w:snapToGrid w:val="0"/>
              <w:spacing w:line="400" w:lineRule="exact"/>
              <w:jc w:val="left"/>
              <w:rPr>
                <w:rFonts w:hAnsi="宋体"/>
                <w:sz w:val="22"/>
                <w:szCs w:val="22"/>
              </w:rPr>
            </w:pPr>
            <w:r>
              <w:rPr>
                <w:rFonts w:hint="eastAsia" w:hAnsi="宋体"/>
                <w:sz w:val="22"/>
                <w:szCs w:val="22"/>
              </w:rPr>
              <w:t>联系人</w:t>
            </w:r>
          </w:p>
        </w:tc>
        <w:tc>
          <w:tcPr>
            <w:tcW w:w="294" w:type="dxa"/>
          </w:tcPr>
          <w:p>
            <w:pPr>
              <w:tabs>
                <w:tab w:val="left" w:pos="851"/>
              </w:tabs>
              <w:adjustRightInd w:val="0"/>
              <w:snapToGrid w:val="0"/>
              <w:spacing w:line="400" w:lineRule="exact"/>
              <w:jc w:val="left"/>
              <w:rPr>
                <w:rFonts w:hAnsi="宋体"/>
                <w:sz w:val="22"/>
                <w:szCs w:val="22"/>
              </w:rPr>
            </w:pPr>
            <w:r>
              <w:rPr>
                <w:rFonts w:hAnsi="宋体"/>
                <w:sz w:val="22"/>
                <w:szCs w:val="22"/>
              </w:rPr>
              <w:t>:</w:t>
            </w:r>
          </w:p>
        </w:tc>
        <w:tc>
          <w:tcPr>
            <w:tcW w:w="4286" w:type="dxa"/>
          </w:tcPr>
          <w:p>
            <w:pPr>
              <w:tabs>
                <w:tab w:val="left" w:pos="851"/>
              </w:tabs>
              <w:adjustRightInd w:val="0"/>
              <w:snapToGrid w:val="0"/>
              <w:spacing w:line="400" w:lineRule="exact"/>
              <w:jc w:val="left"/>
              <w:rPr>
                <w:rFonts w:hAnsi="宋体"/>
                <w:sz w:val="22"/>
                <w:szCs w:val="22"/>
              </w:rPr>
            </w:pPr>
            <w:r>
              <w:rPr>
                <w:rFonts w:hint="eastAsia" w:hAnsi="宋体"/>
                <w:sz w:val="22"/>
                <w:szCs w:val="22"/>
                <w:u w:val="single"/>
                <w:lang w:val="en-US" w:eastAsia="zh-CN"/>
              </w:rPr>
              <w:t xml:space="preserve">     </w:t>
            </w:r>
          </w:p>
        </w:tc>
      </w:tr>
      <w:tr>
        <w:tblPrEx>
          <w:tblLayout w:type="fixed"/>
          <w:tblCellMar>
            <w:top w:w="0" w:type="dxa"/>
            <w:left w:w="108" w:type="dxa"/>
            <w:bottom w:w="0" w:type="dxa"/>
            <w:right w:w="108" w:type="dxa"/>
          </w:tblCellMar>
        </w:tblPrEx>
        <w:tc>
          <w:tcPr>
            <w:tcW w:w="1246" w:type="dxa"/>
          </w:tcPr>
          <w:p>
            <w:pPr>
              <w:tabs>
                <w:tab w:val="left" w:pos="851"/>
              </w:tabs>
              <w:adjustRightInd w:val="0"/>
              <w:snapToGrid w:val="0"/>
              <w:spacing w:line="400" w:lineRule="exact"/>
              <w:jc w:val="left"/>
              <w:rPr>
                <w:sz w:val="22"/>
                <w:szCs w:val="22"/>
              </w:rPr>
            </w:pPr>
            <w:r>
              <w:rPr>
                <w:rFonts w:hint="eastAsia" w:hAnsi="宋体"/>
                <w:sz w:val="22"/>
                <w:szCs w:val="22"/>
              </w:rPr>
              <w:t>联系电话</w:t>
            </w:r>
          </w:p>
        </w:tc>
        <w:tc>
          <w:tcPr>
            <w:tcW w:w="294" w:type="dxa"/>
          </w:tcPr>
          <w:p>
            <w:pPr>
              <w:tabs>
                <w:tab w:val="left" w:pos="851"/>
              </w:tabs>
              <w:adjustRightInd w:val="0"/>
              <w:snapToGrid w:val="0"/>
              <w:spacing w:line="400" w:lineRule="exact"/>
              <w:jc w:val="left"/>
              <w:rPr>
                <w:rFonts w:hAnsi="宋体"/>
                <w:sz w:val="22"/>
                <w:szCs w:val="22"/>
              </w:rPr>
            </w:pPr>
            <w:r>
              <w:rPr>
                <w:rFonts w:hAnsi="宋体"/>
                <w:sz w:val="22"/>
                <w:szCs w:val="22"/>
              </w:rPr>
              <w:t>:</w:t>
            </w:r>
          </w:p>
        </w:tc>
        <w:tc>
          <w:tcPr>
            <w:tcW w:w="4286" w:type="dxa"/>
          </w:tcPr>
          <w:p>
            <w:pPr>
              <w:tabs>
                <w:tab w:val="left" w:pos="851"/>
              </w:tabs>
              <w:adjustRightInd w:val="0"/>
              <w:snapToGrid w:val="0"/>
              <w:spacing w:line="400" w:lineRule="exact"/>
              <w:jc w:val="left"/>
              <w:rPr>
                <w:rFonts w:hAnsi="宋体"/>
                <w:sz w:val="22"/>
                <w:szCs w:val="22"/>
              </w:rPr>
            </w:pPr>
          </w:p>
        </w:tc>
      </w:tr>
    </w:tbl>
    <w:p>
      <w:pPr>
        <w:tabs>
          <w:tab w:val="left" w:pos="851"/>
        </w:tabs>
        <w:adjustRightInd w:val="0"/>
        <w:snapToGrid w:val="0"/>
        <w:spacing w:beforeLines="100" w:afterLines="100" w:line="400" w:lineRule="exact"/>
        <w:ind w:left="850" w:leftChars="405"/>
        <w:jc w:val="left"/>
        <w:rPr>
          <w:sz w:val="22"/>
          <w:szCs w:val="22"/>
        </w:rPr>
      </w:pPr>
      <w:r>
        <w:rPr>
          <w:rFonts w:hint="eastAsia"/>
          <w:sz w:val="22"/>
          <w:szCs w:val="22"/>
        </w:rPr>
        <w:t>双方保证在本合同所留地址均有效，相关文件送至该址视为有效送达，若一方发生变更应书面通知另一方。</w:t>
      </w:r>
    </w:p>
    <w:p>
      <w:pPr>
        <w:numPr>
          <w:ilvl w:val="0"/>
          <w:numId w:val="1"/>
        </w:numPr>
        <w:tabs>
          <w:tab w:val="left" w:pos="851"/>
        </w:tabs>
        <w:adjustRightInd w:val="0"/>
        <w:snapToGrid w:val="0"/>
        <w:spacing w:beforeLines="100" w:afterLines="100" w:line="400" w:lineRule="exact"/>
        <w:ind w:left="0" w:firstLine="0"/>
        <w:jc w:val="left"/>
        <w:rPr>
          <w:sz w:val="22"/>
          <w:szCs w:val="22"/>
        </w:rPr>
      </w:pPr>
      <w:r>
        <w:rPr>
          <w:rFonts w:hint="eastAsia" w:hAnsi="宋体"/>
          <w:bCs/>
          <w:sz w:val="22"/>
          <w:szCs w:val="22"/>
        </w:rPr>
        <w:t>争议解决</w:t>
      </w:r>
    </w:p>
    <w:p>
      <w:pPr>
        <w:adjustRightInd w:val="0"/>
        <w:snapToGrid w:val="0"/>
        <w:spacing w:beforeLines="100" w:afterLines="100" w:line="400" w:lineRule="exact"/>
        <w:ind w:left="850" w:leftChars="405"/>
        <w:jc w:val="left"/>
        <w:rPr>
          <w:sz w:val="22"/>
          <w:szCs w:val="22"/>
        </w:rPr>
      </w:pPr>
      <w:r>
        <w:rPr>
          <w:rFonts w:hint="eastAsia" w:hAnsi="宋体"/>
          <w:sz w:val="22"/>
          <w:szCs w:val="22"/>
        </w:rPr>
        <w:t>在本合同履行中，如双方发生争议，应尽量通过协商解决，协商不成的，按下列第</w:t>
      </w:r>
      <w:r>
        <w:rPr>
          <w:sz w:val="22"/>
          <w:szCs w:val="22"/>
          <w:u w:val="single"/>
        </w:rPr>
        <w:t xml:space="preserve"> 1 </w:t>
      </w:r>
      <w:r>
        <w:rPr>
          <w:rFonts w:hint="eastAsia" w:hAnsi="宋体"/>
          <w:sz w:val="22"/>
          <w:szCs w:val="22"/>
        </w:rPr>
        <w:t>种方式解决：</w:t>
      </w:r>
    </w:p>
    <w:p>
      <w:pPr>
        <w:numPr>
          <w:ilvl w:val="0"/>
          <w:numId w:val="17"/>
        </w:numPr>
        <w:tabs>
          <w:tab w:val="left" w:pos="851"/>
        </w:tabs>
        <w:adjustRightInd w:val="0"/>
        <w:snapToGrid w:val="0"/>
        <w:spacing w:line="400" w:lineRule="exact"/>
        <w:ind w:left="31680" w:hanging="849" w:hangingChars="386"/>
        <w:jc w:val="left"/>
        <w:rPr>
          <w:sz w:val="22"/>
          <w:szCs w:val="22"/>
        </w:rPr>
      </w:pPr>
      <w:r>
        <w:rPr>
          <w:rFonts w:hint="eastAsia" w:hAnsi="宋体"/>
          <w:sz w:val="22"/>
          <w:szCs w:val="22"/>
        </w:rPr>
        <w:t>向</w:t>
      </w:r>
      <w:r>
        <w:rPr>
          <w:rFonts w:hint="eastAsia"/>
          <w:sz w:val="22"/>
          <w:szCs w:val="22"/>
        </w:rPr>
        <w:t>广州</w:t>
      </w:r>
      <w:r>
        <w:rPr>
          <w:rFonts w:hint="eastAsia" w:hAnsi="宋体"/>
          <w:sz w:val="22"/>
          <w:szCs w:val="22"/>
        </w:rPr>
        <w:t>仲裁委员会申请仲裁</w:t>
      </w:r>
      <w:r>
        <w:rPr>
          <w:sz w:val="22"/>
          <w:szCs w:val="22"/>
        </w:rPr>
        <w:t xml:space="preserve">; </w:t>
      </w:r>
    </w:p>
    <w:p>
      <w:pPr>
        <w:numPr>
          <w:ilvl w:val="0"/>
          <w:numId w:val="17"/>
        </w:numPr>
        <w:tabs>
          <w:tab w:val="left" w:pos="851"/>
        </w:tabs>
        <w:adjustRightInd w:val="0"/>
        <w:snapToGrid w:val="0"/>
        <w:spacing w:line="400" w:lineRule="exact"/>
        <w:ind w:left="31680" w:hanging="849" w:hangingChars="386"/>
        <w:jc w:val="left"/>
        <w:rPr>
          <w:sz w:val="22"/>
          <w:szCs w:val="22"/>
        </w:rPr>
      </w:pPr>
      <w:r>
        <w:rPr>
          <w:rFonts w:hint="eastAsia" w:hAnsi="宋体"/>
          <w:sz w:val="22"/>
          <w:szCs w:val="22"/>
        </w:rPr>
        <w:t>向</w:t>
      </w:r>
      <w:r>
        <w:rPr>
          <w:rFonts w:hint="eastAsia" w:hAnsi="宋体"/>
          <w:sz w:val="22"/>
          <w:u w:val="single"/>
        </w:rPr>
        <w:t>（项目所在地）</w:t>
      </w:r>
      <w:r>
        <w:rPr>
          <w:rFonts w:hint="eastAsia" w:hAnsi="宋体"/>
          <w:sz w:val="22"/>
          <w:szCs w:val="22"/>
        </w:rPr>
        <w:t>人民法院起诉。</w:t>
      </w:r>
    </w:p>
    <w:p>
      <w:pPr>
        <w:numPr>
          <w:ilvl w:val="0"/>
          <w:numId w:val="1"/>
        </w:numPr>
        <w:tabs>
          <w:tab w:val="left" w:pos="851"/>
        </w:tabs>
        <w:adjustRightInd w:val="0"/>
        <w:snapToGrid w:val="0"/>
        <w:spacing w:beforeLines="100" w:afterLines="100" w:line="400" w:lineRule="exact"/>
        <w:ind w:left="0" w:firstLine="0"/>
        <w:jc w:val="left"/>
        <w:rPr>
          <w:sz w:val="22"/>
          <w:szCs w:val="22"/>
        </w:rPr>
      </w:pPr>
      <w:r>
        <w:rPr>
          <w:rFonts w:hint="eastAsia" w:hAnsi="宋体"/>
          <w:bCs/>
          <w:sz w:val="22"/>
          <w:szCs w:val="22"/>
        </w:rPr>
        <w:t>违约</w:t>
      </w:r>
    </w:p>
    <w:p>
      <w:pPr>
        <w:numPr>
          <w:ilvl w:val="0"/>
          <w:numId w:val="18"/>
        </w:numPr>
        <w:tabs>
          <w:tab w:val="left" w:pos="851"/>
        </w:tabs>
        <w:adjustRightInd w:val="0"/>
        <w:snapToGrid w:val="0"/>
        <w:spacing w:beforeLines="100" w:afterLines="100" w:line="400" w:lineRule="exact"/>
        <w:ind w:left="851" w:hanging="851"/>
        <w:jc w:val="left"/>
        <w:rPr>
          <w:sz w:val="22"/>
          <w:szCs w:val="22"/>
        </w:rPr>
      </w:pPr>
      <w:r>
        <w:rPr>
          <w:rFonts w:hint="eastAsia" w:hAnsi="宋体"/>
          <w:sz w:val="22"/>
          <w:szCs w:val="22"/>
        </w:rPr>
        <w:t>发包方或承包方不能按本协议条款约定内容履行自己的各项义务及发生使合同无法履行的行为，应承担相应的违约责任，包括支付违约金按</w:t>
      </w:r>
      <w:r>
        <w:rPr>
          <w:rFonts w:hint="eastAsia" w:hAnsi="宋体"/>
          <w:color w:val="FF0000"/>
          <w:sz w:val="22"/>
          <w:szCs w:val="22"/>
          <w:u w:val="single"/>
        </w:rPr>
        <w:t>合同价的</w:t>
      </w:r>
      <w:r>
        <w:rPr>
          <w:rFonts w:hint="eastAsia" w:hAnsi="宋体"/>
          <w:color w:val="FF0000"/>
          <w:sz w:val="22"/>
          <w:szCs w:val="22"/>
          <w:u w:val="single"/>
          <w:lang w:val="en-US" w:eastAsia="zh-CN"/>
        </w:rPr>
        <w:t>3</w:t>
      </w:r>
      <w:r>
        <w:rPr>
          <w:rFonts w:hAnsi="宋体"/>
          <w:color w:val="FF0000"/>
          <w:sz w:val="22"/>
          <w:szCs w:val="22"/>
          <w:u w:val="single"/>
        </w:rPr>
        <w:t>0%</w:t>
      </w:r>
      <w:r>
        <w:rPr>
          <w:rFonts w:hint="eastAsia" w:hAnsi="宋体"/>
          <w:sz w:val="22"/>
          <w:szCs w:val="22"/>
        </w:rPr>
        <w:t>计算，赔偿因其违约给对方造成的全部经济损失。</w:t>
      </w:r>
    </w:p>
    <w:p>
      <w:pPr>
        <w:numPr>
          <w:ilvl w:val="0"/>
          <w:numId w:val="18"/>
        </w:numPr>
        <w:tabs>
          <w:tab w:val="left" w:pos="851"/>
        </w:tabs>
        <w:adjustRightInd w:val="0"/>
        <w:snapToGrid w:val="0"/>
        <w:spacing w:beforeLines="100" w:afterLines="100" w:line="400" w:lineRule="exact"/>
        <w:ind w:left="851" w:hanging="851"/>
        <w:jc w:val="left"/>
        <w:rPr>
          <w:rFonts w:ascii="宋体"/>
          <w:sz w:val="22"/>
          <w:szCs w:val="22"/>
        </w:rPr>
      </w:pPr>
      <w:r>
        <w:rPr>
          <w:rFonts w:hint="eastAsia" w:ascii="宋体" w:hAnsi="宋体"/>
          <w:sz w:val="22"/>
          <w:szCs w:val="22"/>
        </w:rPr>
        <w:t>发包方应按合同约定的时间及时支付合同价款，如无正当理由造成拖延，每逾期支付一天，应承担</w:t>
      </w:r>
      <w:r>
        <w:rPr>
          <w:rFonts w:ascii="宋体" w:hAnsi="宋体"/>
          <w:sz w:val="22"/>
          <w:szCs w:val="22"/>
          <w:u w:val="single"/>
        </w:rPr>
        <w:t xml:space="preserve"> / </w:t>
      </w:r>
      <w:r>
        <w:rPr>
          <w:rFonts w:hint="eastAsia" w:ascii="宋体" w:hAnsi="宋体"/>
          <w:sz w:val="22"/>
          <w:szCs w:val="22"/>
        </w:rPr>
        <w:t>的逾期违约金，且工期予以顺延。因政府工程受财政投资限制，发包方报送财政审批手续导致支付时间延长的，不属发包方违约，不承担违约责任。</w:t>
      </w:r>
    </w:p>
    <w:p>
      <w:pPr>
        <w:numPr>
          <w:ilvl w:val="0"/>
          <w:numId w:val="18"/>
        </w:numPr>
        <w:tabs>
          <w:tab w:val="left" w:pos="851"/>
        </w:tabs>
        <w:adjustRightInd w:val="0"/>
        <w:snapToGrid w:val="0"/>
        <w:spacing w:beforeLines="100" w:afterLines="100" w:line="400" w:lineRule="exact"/>
        <w:ind w:left="851" w:hanging="851"/>
        <w:jc w:val="left"/>
        <w:rPr>
          <w:rFonts w:ascii="宋体"/>
          <w:sz w:val="22"/>
          <w:szCs w:val="22"/>
        </w:rPr>
      </w:pPr>
      <w:r>
        <w:rPr>
          <w:rFonts w:hint="eastAsia" w:ascii="宋体" w:hAnsi="宋体"/>
          <w:sz w:val="22"/>
          <w:szCs w:val="22"/>
        </w:rPr>
        <w:t>因承包方原因造成工期延误，每逾期一天，应承担</w:t>
      </w:r>
      <w:r>
        <w:rPr>
          <w:rFonts w:ascii="宋体" w:hAnsi="宋体"/>
          <w:sz w:val="22"/>
          <w:szCs w:val="22"/>
          <w:u w:val="single"/>
        </w:rPr>
        <w:t xml:space="preserve"> </w:t>
      </w:r>
      <w:r>
        <w:rPr>
          <w:rFonts w:hint="eastAsia" w:ascii="宋体" w:hAnsi="宋体"/>
          <w:sz w:val="22"/>
          <w:szCs w:val="22"/>
          <w:u w:val="single"/>
          <w:lang w:val="en-US" w:eastAsia="zh-CN"/>
        </w:rPr>
        <w:t>5</w:t>
      </w:r>
      <w:r>
        <w:rPr>
          <w:rFonts w:ascii="宋体" w:hAnsi="宋体"/>
          <w:sz w:val="22"/>
          <w:szCs w:val="22"/>
          <w:u w:val="single"/>
        </w:rPr>
        <w:t>00</w:t>
      </w:r>
      <w:r>
        <w:rPr>
          <w:rFonts w:hint="eastAsia" w:ascii="宋体" w:hAnsi="宋体"/>
          <w:sz w:val="22"/>
          <w:szCs w:val="22"/>
          <w:u w:val="single"/>
        </w:rPr>
        <w:t>元</w:t>
      </w:r>
      <w:r>
        <w:rPr>
          <w:rFonts w:ascii="宋体" w:hAnsi="宋体"/>
          <w:sz w:val="22"/>
          <w:szCs w:val="22"/>
          <w:u w:val="single"/>
        </w:rPr>
        <w:t xml:space="preserve"> </w:t>
      </w:r>
      <w:r>
        <w:rPr>
          <w:rFonts w:hint="eastAsia" w:ascii="宋体" w:hAnsi="宋体"/>
          <w:sz w:val="22"/>
          <w:szCs w:val="22"/>
        </w:rPr>
        <w:t>的逾期违约金，承包方支付逾期违约金后，不免除承包方继续完成工程及修补缺陷的义务以及赔偿因此给发包方造成损失的责任。</w:t>
      </w:r>
    </w:p>
    <w:p>
      <w:pPr>
        <w:numPr>
          <w:ilvl w:val="0"/>
          <w:numId w:val="18"/>
        </w:numPr>
        <w:tabs>
          <w:tab w:val="left" w:pos="851"/>
        </w:tabs>
        <w:adjustRightInd w:val="0"/>
        <w:snapToGrid w:val="0"/>
        <w:spacing w:beforeLines="100" w:afterLines="100" w:line="400" w:lineRule="exact"/>
        <w:ind w:left="851" w:hanging="851"/>
        <w:jc w:val="left"/>
        <w:rPr>
          <w:rFonts w:ascii="宋体"/>
          <w:sz w:val="22"/>
          <w:szCs w:val="22"/>
        </w:rPr>
      </w:pPr>
      <w:r>
        <w:rPr>
          <w:rFonts w:hint="eastAsia" w:ascii="宋体" w:hAnsi="宋体"/>
          <w:sz w:val="22"/>
          <w:szCs w:val="22"/>
        </w:rPr>
        <w:t>施工过程中，因承包方原因造成工程质量不合格的，发包方有权随时要求承包方采取补救措施，直至达到合同要求的质量标准，由此增加的费用和延误的工期由承包方承担。且发包方有权对承包方处以</w:t>
      </w:r>
      <w:r>
        <w:rPr>
          <w:rFonts w:ascii="宋体" w:hAnsi="宋体"/>
          <w:sz w:val="22"/>
          <w:szCs w:val="22"/>
          <w:u w:val="single"/>
        </w:rPr>
        <w:t xml:space="preserve"> 200</w:t>
      </w:r>
      <w:r>
        <w:rPr>
          <w:rFonts w:hint="eastAsia" w:ascii="宋体" w:hAnsi="宋体"/>
          <w:sz w:val="22"/>
          <w:szCs w:val="22"/>
        </w:rPr>
        <w:t>元</w:t>
      </w:r>
      <w:r>
        <w:rPr>
          <w:rFonts w:ascii="宋体" w:hAnsi="宋体"/>
          <w:sz w:val="22"/>
          <w:szCs w:val="22"/>
        </w:rPr>
        <w:t>/</w:t>
      </w:r>
      <w:r>
        <w:rPr>
          <w:rFonts w:hint="eastAsia" w:ascii="宋体" w:hAnsi="宋体"/>
          <w:sz w:val="22"/>
          <w:szCs w:val="22"/>
        </w:rPr>
        <w:t>次的处罚。</w:t>
      </w:r>
    </w:p>
    <w:p>
      <w:pPr>
        <w:numPr>
          <w:ilvl w:val="0"/>
          <w:numId w:val="18"/>
        </w:numPr>
        <w:tabs>
          <w:tab w:val="left" w:pos="851"/>
        </w:tabs>
        <w:adjustRightInd w:val="0"/>
        <w:snapToGrid w:val="0"/>
        <w:spacing w:beforeLines="100" w:afterLines="100" w:line="400" w:lineRule="exact"/>
        <w:ind w:left="851" w:hanging="851"/>
        <w:jc w:val="left"/>
        <w:rPr>
          <w:rFonts w:ascii="宋体"/>
          <w:sz w:val="22"/>
          <w:szCs w:val="22"/>
        </w:rPr>
      </w:pPr>
      <w:r>
        <w:rPr>
          <w:rFonts w:hint="eastAsia" w:ascii="宋体" w:hAnsi="宋体"/>
          <w:sz w:val="22"/>
          <w:szCs w:val="22"/>
        </w:rPr>
        <w:t>对于经单项验收或竣工验收不合格的工程，承包方完成整改后应重新进行验收，经重新组织验收仍不合格且无法采取措施补救的，则发包方有权要求承包方承担</w:t>
      </w:r>
      <w:r>
        <w:rPr>
          <w:rFonts w:ascii="宋体" w:hAnsi="宋体"/>
          <w:color w:val="FF0000"/>
          <w:sz w:val="22"/>
          <w:szCs w:val="22"/>
          <w:u w:val="single"/>
        </w:rPr>
        <w:t xml:space="preserve"> </w:t>
      </w:r>
      <w:r>
        <w:rPr>
          <w:rFonts w:hint="eastAsia" w:ascii="宋体" w:hAnsi="宋体"/>
          <w:color w:val="FF0000"/>
          <w:sz w:val="22"/>
          <w:szCs w:val="22"/>
          <w:u w:val="single"/>
          <w:lang w:val="en-US" w:eastAsia="zh-CN"/>
        </w:rPr>
        <w:t>5000</w:t>
      </w:r>
      <w:r>
        <w:rPr>
          <w:rFonts w:hint="eastAsia" w:ascii="宋体" w:hAnsi="宋体"/>
          <w:sz w:val="22"/>
          <w:szCs w:val="22"/>
        </w:rPr>
        <w:t>元违约金并解除合同，违约金不足以弥补发包方损失的，承包方须继续赔偿损失。</w:t>
      </w:r>
    </w:p>
    <w:p>
      <w:pPr>
        <w:numPr>
          <w:ilvl w:val="0"/>
          <w:numId w:val="18"/>
        </w:numPr>
        <w:tabs>
          <w:tab w:val="left" w:pos="851"/>
        </w:tabs>
        <w:adjustRightInd w:val="0"/>
        <w:snapToGrid w:val="0"/>
        <w:spacing w:beforeLines="100" w:afterLines="100" w:line="400" w:lineRule="exact"/>
        <w:ind w:left="851" w:hanging="851"/>
        <w:jc w:val="left"/>
        <w:rPr>
          <w:rFonts w:ascii="宋体"/>
          <w:sz w:val="22"/>
          <w:szCs w:val="22"/>
        </w:rPr>
      </w:pPr>
      <w:r>
        <w:rPr>
          <w:rFonts w:hint="eastAsia" w:ascii="宋体" w:hAnsi="宋体"/>
          <w:sz w:val="22"/>
          <w:szCs w:val="22"/>
        </w:rPr>
        <w:t>发包方发现承包方未遵守安全生产和文明施工规定或施工现场存在安全事故隐患的，以书面形式通知承包方整改；情况严重的，可要求承包方暂停施工。承包方在收到书面通知后的</w:t>
      </w:r>
      <w:r>
        <w:rPr>
          <w:rFonts w:ascii="宋体" w:hAnsi="宋体"/>
          <w:sz w:val="22"/>
          <w:szCs w:val="22"/>
        </w:rPr>
        <w:t>48</w:t>
      </w:r>
      <w:r>
        <w:rPr>
          <w:rFonts w:hint="eastAsia" w:ascii="宋体" w:hAnsi="宋体"/>
          <w:sz w:val="22"/>
          <w:szCs w:val="22"/>
        </w:rPr>
        <w:t>小时内仍未整改的，发包方可以聘请或指派第三方采取措施，所产生的费用由发包方从应付或将付给承包方的款项中扣除。且发包方有权对承包方处以</w:t>
      </w:r>
      <w:r>
        <w:rPr>
          <w:rFonts w:ascii="宋体" w:hAnsi="宋体"/>
          <w:sz w:val="22"/>
          <w:szCs w:val="22"/>
          <w:u w:val="single"/>
        </w:rPr>
        <w:t xml:space="preserve">  </w:t>
      </w:r>
      <w:r>
        <w:rPr>
          <w:rFonts w:hint="eastAsia" w:ascii="宋体" w:hAnsi="宋体"/>
          <w:sz w:val="22"/>
          <w:szCs w:val="22"/>
          <w:u w:val="single"/>
          <w:lang w:val="en-US" w:eastAsia="zh-CN"/>
        </w:rPr>
        <w:t>5</w:t>
      </w:r>
      <w:r>
        <w:rPr>
          <w:rFonts w:ascii="宋体" w:hAnsi="宋体"/>
          <w:sz w:val="22"/>
          <w:szCs w:val="22"/>
          <w:u w:val="single"/>
        </w:rPr>
        <w:t xml:space="preserve">00 </w:t>
      </w:r>
      <w:r>
        <w:rPr>
          <w:rFonts w:hint="eastAsia" w:ascii="宋体" w:hAnsi="宋体"/>
          <w:sz w:val="22"/>
          <w:szCs w:val="22"/>
        </w:rPr>
        <w:t>元</w:t>
      </w:r>
      <w:r>
        <w:rPr>
          <w:rFonts w:ascii="宋体" w:hAnsi="宋体"/>
          <w:sz w:val="22"/>
          <w:szCs w:val="22"/>
        </w:rPr>
        <w:t>/</w:t>
      </w:r>
      <w:r>
        <w:rPr>
          <w:rFonts w:hint="eastAsia" w:ascii="宋体" w:hAnsi="宋体"/>
          <w:sz w:val="22"/>
          <w:szCs w:val="22"/>
        </w:rPr>
        <w:t>次的处罚。</w:t>
      </w:r>
    </w:p>
    <w:p>
      <w:pPr>
        <w:numPr>
          <w:ilvl w:val="0"/>
          <w:numId w:val="18"/>
        </w:numPr>
        <w:tabs>
          <w:tab w:val="left" w:pos="851"/>
        </w:tabs>
        <w:adjustRightInd w:val="0"/>
        <w:snapToGrid w:val="0"/>
        <w:spacing w:beforeLines="100" w:afterLines="100" w:line="400" w:lineRule="exact"/>
        <w:ind w:left="851" w:hanging="851"/>
        <w:jc w:val="left"/>
        <w:rPr>
          <w:rFonts w:ascii="宋体"/>
          <w:sz w:val="22"/>
          <w:szCs w:val="22"/>
        </w:rPr>
      </w:pPr>
      <w:r>
        <w:rPr>
          <w:rFonts w:hint="eastAsia" w:ascii="宋体" w:hAnsi="宋体"/>
          <w:sz w:val="22"/>
          <w:szCs w:val="22"/>
        </w:rPr>
        <w:t>承包方对合同工程的安全施工负责，应及时、如实报告生产安全事故。承包方违反本合同规定或由于承包方原因造成的安全事故的，由承包方承担相应责任和费用，工期不予顺延。发包方根据法定部门认定的事故等级，追究承包方相应的违约赔偿责任。具体规定为：</w:t>
      </w:r>
    </w:p>
    <w:p>
      <w:pPr>
        <w:numPr>
          <w:ilvl w:val="0"/>
          <w:numId w:val="19"/>
        </w:numPr>
        <w:tabs>
          <w:tab w:val="left" w:pos="851"/>
        </w:tabs>
        <w:adjustRightInd w:val="0"/>
        <w:snapToGrid w:val="0"/>
        <w:spacing w:beforeLines="100" w:afterLines="100" w:line="400" w:lineRule="exact"/>
        <w:ind w:left="849" w:leftChars="-1" w:hanging="851"/>
        <w:jc w:val="left"/>
        <w:rPr>
          <w:rFonts w:ascii="宋体"/>
          <w:sz w:val="22"/>
          <w:szCs w:val="22"/>
        </w:rPr>
      </w:pPr>
      <w:r>
        <w:rPr>
          <w:rFonts w:hint="eastAsia" w:ascii="宋体" w:hAnsi="宋体"/>
          <w:sz w:val="22"/>
          <w:szCs w:val="22"/>
        </w:rPr>
        <w:t>质量事故：发生一级重大事故，承包方应承担违约金</w:t>
      </w:r>
      <w:r>
        <w:rPr>
          <w:rFonts w:ascii="宋体" w:hAnsi="宋体"/>
          <w:sz w:val="22"/>
          <w:szCs w:val="22"/>
          <w:u w:val="single"/>
        </w:rPr>
        <w:t xml:space="preserve"> 10000 </w:t>
      </w:r>
      <w:r>
        <w:rPr>
          <w:rFonts w:hint="eastAsia" w:ascii="宋体" w:hAnsi="宋体"/>
          <w:sz w:val="22"/>
          <w:szCs w:val="22"/>
        </w:rPr>
        <w:t>元；发生二级重大事故，承包方应承担违约金</w:t>
      </w:r>
      <w:r>
        <w:rPr>
          <w:rFonts w:ascii="宋体" w:hAnsi="宋体"/>
          <w:sz w:val="22"/>
          <w:szCs w:val="22"/>
          <w:u w:val="single"/>
        </w:rPr>
        <w:t xml:space="preserve"> 8000</w:t>
      </w:r>
      <w:r>
        <w:rPr>
          <w:rFonts w:hint="eastAsia" w:ascii="宋体" w:hAnsi="宋体"/>
          <w:sz w:val="22"/>
          <w:szCs w:val="22"/>
        </w:rPr>
        <w:t>元；发生三级重大事故，承包方应承担违约金</w:t>
      </w:r>
      <w:r>
        <w:rPr>
          <w:rFonts w:ascii="宋体" w:hAnsi="宋体"/>
          <w:sz w:val="22"/>
          <w:szCs w:val="22"/>
          <w:u w:val="single"/>
        </w:rPr>
        <w:t xml:space="preserve"> 5000 </w:t>
      </w:r>
      <w:r>
        <w:rPr>
          <w:rFonts w:hint="eastAsia" w:ascii="宋体" w:hAnsi="宋体"/>
          <w:sz w:val="22"/>
          <w:szCs w:val="22"/>
        </w:rPr>
        <w:t>元；发生四级重大事故，承包方应承担违约金</w:t>
      </w:r>
      <w:r>
        <w:rPr>
          <w:rFonts w:ascii="宋体" w:hAnsi="宋体"/>
          <w:sz w:val="22"/>
          <w:szCs w:val="22"/>
          <w:u w:val="single"/>
        </w:rPr>
        <w:t xml:space="preserve"> 4000</w:t>
      </w:r>
      <w:r>
        <w:rPr>
          <w:rFonts w:hint="eastAsia" w:ascii="宋体" w:hAnsi="宋体"/>
          <w:sz w:val="22"/>
          <w:szCs w:val="22"/>
        </w:rPr>
        <w:t>元；除前述违约金外，若因此造成发包方或第三方损失的，承包方还应赔偿发包方或第三方因此造成的损失。</w:t>
      </w:r>
    </w:p>
    <w:p>
      <w:pPr>
        <w:numPr>
          <w:ilvl w:val="0"/>
          <w:numId w:val="19"/>
        </w:numPr>
        <w:tabs>
          <w:tab w:val="left" w:pos="851"/>
        </w:tabs>
        <w:adjustRightInd w:val="0"/>
        <w:snapToGrid w:val="0"/>
        <w:spacing w:beforeLines="100" w:afterLines="100" w:line="400" w:lineRule="exact"/>
        <w:ind w:left="849" w:leftChars="-1" w:hanging="851"/>
        <w:jc w:val="left"/>
        <w:rPr>
          <w:rFonts w:ascii="宋体"/>
          <w:sz w:val="22"/>
          <w:szCs w:val="22"/>
        </w:rPr>
      </w:pPr>
      <w:r>
        <w:rPr>
          <w:rFonts w:hint="eastAsia" w:ascii="宋体" w:hAnsi="宋体"/>
          <w:sz w:val="22"/>
          <w:szCs w:val="22"/>
        </w:rPr>
        <w:t>安全事故：发生特别重大事故，承包方应承担违约金</w:t>
      </w:r>
      <w:r>
        <w:rPr>
          <w:rFonts w:ascii="宋体" w:hAnsi="宋体"/>
          <w:sz w:val="22"/>
          <w:szCs w:val="22"/>
          <w:u w:val="single"/>
        </w:rPr>
        <w:t xml:space="preserve"> 10</w:t>
      </w:r>
      <w:r>
        <w:rPr>
          <w:rFonts w:hint="eastAsia" w:ascii="宋体" w:hAnsi="宋体"/>
          <w:sz w:val="22"/>
          <w:szCs w:val="22"/>
          <w:u w:val="single"/>
          <w:lang w:val="en-US" w:eastAsia="zh-CN"/>
        </w:rPr>
        <w:t>0</w:t>
      </w:r>
      <w:r>
        <w:rPr>
          <w:rFonts w:ascii="宋体" w:hAnsi="宋体"/>
          <w:sz w:val="22"/>
          <w:szCs w:val="22"/>
          <w:u w:val="single"/>
        </w:rPr>
        <w:t xml:space="preserve">000 </w:t>
      </w:r>
      <w:r>
        <w:rPr>
          <w:rFonts w:hint="eastAsia" w:ascii="宋体" w:hAnsi="宋体"/>
          <w:sz w:val="22"/>
          <w:szCs w:val="22"/>
        </w:rPr>
        <w:t>元；发生重大事故，承包方应承担违约金</w:t>
      </w:r>
      <w:r>
        <w:rPr>
          <w:rFonts w:ascii="宋体" w:hAnsi="宋体"/>
          <w:sz w:val="22"/>
          <w:szCs w:val="22"/>
          <w:u w:val="single"/>
        </w:rPr>
        <w:t xml:space="preserve"> 80000 </w:t>
      </w:r>
      <w:r>
        <w:rPr>
          <w:rFonts w:hint="eastAsia" w:ascii="宋体" w:hAnsi="宋体"/>
          <w:sz w:val="22"/>
          <w:szCs w:val="22"/>
        </w:rPr>
        <w:t>元；发生较大事故，承包方应承担违约金</w:t>
      </w:r>
      <w:r>
        <w:rPr>
          <w:rFonts w:ascii="宋体" w:hAnsi="宋体"/>
          <w:sz w:val="22"/>
          <w:szCs w:val="22"/>
          <w:u w:val="single"/>
        </w:rPr>
        <w:t xml:space="preserve"> 50000</w:t>
      </w:r>
      <w:r>
        <w:rPr>
          <w:rFonts w:hint="eastAsia" w:ascii="宋体" w:hAnsi="宋体"/>
          <w:sz w:val="22"/>
          <w:szCs w:val="22"/>
        </w:rPr>
        <w:t>元；发生一般事故，承包方应承担违约金</w:t>
      </w:r>
      <w:r>
        <w:rPr>
          <w:rFonts w:ascii="宋体" w:hAnsi="宋体"/>
          <w:sz w:val="22"/>
          <w:szCs w:val="22"/>
          <w:u w:val="single"/>
        </w:rPr>
        <w:t xml:space="preserve"> 30000</w:t>
      </w:r>
      <w:r>
        <w:rPr>
          <w:rFonts w:hint="eastAsia" w:ascii="宋体" w:hAnsi="宋体"/>
          <w:sz w:val="22"/>
          <w:szCs w:val="22"/>
        </w:rPr>
        <w:t>元；除前述违约金外，若因此造成第三方损失的，承包方还应赔偿第三方因此造成的损失。</w:t>
      </w:r>
    </w:p>
    <w:p>
      <w:pPr>
        <w:numPr>
          <w:ilvl w:val="0"/>
          <w:numId w:val="19"/>
        </w:numPr>
        <w:tabs>
          <w:tab w:val="left" w:pos="851"/>
        </w:tabs>
        <w:adjustRightInd w:val="0"/>
        <w:snapToGrid w:val="0"/>
        <w:spacing w:beforeLines="100" w:afterLines="100" w:line="400" w:lineRule="exact"/>
        <w:ind w:left="849" w:leftChars="-1" w:hanging="851"/>
        <w:jc w:val="left"/>
        <w:rPr>
          <w:rFonts w:ascii="宋体"/>
          <w:sz w:val="22"/>
          <w:szCs w:val="22"/>
        </w:rPr>
      </w:pPr>
      <w:r>
        <w:rPr>
          <w:rFonts w:hint="eastAsia" w:ascii="宋体" w:hAnsi="宋体"/>
          <w:bCs/>
          <w:sz w:val="22"/>
          <w:szCs w:val="22"/>
        </w:rPr>
        <w:t>发生上述重大质量、安全事故，视情况严重程度，发包方有权部分或全部解除合同。</w:t>
      </w:r>
    </w:p>
    <w:p>
      <w:pPr>
        <w:numPr>
          <w:ilvl w:val="0"/>
          <w:numId w:val="18"/>
        </w:numPr>
        <w:tabs>
          <w:tab w:val="left" w:pos="851"/>
        </w:tabs>
        <w:adjustRightInd w:val="0"/>
        <w:snapToGrid w:val="0"/>
        <w:spacing w:beforeLines="100" w:afterLines="100" w:line="400" w:lineRule="exact"/>
        <w:ind w:left="851" w:hanging="851"/>
        <w:jc w:val="left"/>
        <w:rPr>
          <w:rFonts w:ascii="宋体"/>
          <w:sz w:val="22"/>
          <w:szCs w:val="22"/>
        </w:rPr>
      </w:pPr>
      <w:r>
        <w:rPr>
          <w:rFonts w:hint="eastAsia" w:ascii="宋体" w:hAnsi="宋体"/>
          <w:sz w:val="22"/>
          <w:szCs w:val="22"/>
        </w:rPr>
        <w:t>承包方指定的项目负责人只能担任本工程的施工管理工作，不得同时担任或兼职担任其他工程项目的施工管理工作。若承包方违约，须因此承担</w:t>
      </w:r>
      <w:r>
        <w:rPr>
          <w:rFonts w:ascii="宋体" w:hAnsi="宋体"/>
          <w:sz w:val="22"/>
          <w:szCs w:val="22"/>
          <w:u w:val="single"/>
        </w:rPr>
        <w:t xml:space="preserve"> </w:t>
      </w:r>
      <w:r>
        <w:rPr>
          <w:rFonts w:hint="eastAsia" w:ascii="宋体" w:hAnsi="宋体"/>
          <w:color w:val="FF0000"/>
          <w:sz w:val="22"/>
          <w:szCs w:val="22"/>
          <w:u w:val="single"/>
          <w:lang w:val="en-US" w:eastAsia="zh-CN"/>
        </w:rPr>
        <w:t>/</w:t>
      </w:r>
      <w:r>
        <w:rPr>
          <w:rFonts w:ascii="宋体" w:hAnsi="宋体"/>
          <w:color w:val="FF0000"/>
          <w:sz w:val="22"/>
          <w:szCs w:val="22"/>
          <w:u w:val="single"/>
        </w:rPr>
        <w:t xml:space="preserve"> </w:t>
      </w:r>
      <w:r>
        <w:rPr>
          <w:rFonts w:hint="eastAsia" w:ascii="宋体" w:hAnsi="宋体"/>
          <w:sz w:val="22"/>
          <w:szCs w:val="22"/>
        </w:rPr>
        <w:t>元违约金，且发包方有权责令承包方予以改正或要求限期更换符合任职条件的其他人员担任本项目负责人，承包方须予以执行。</w:t>
      </w:r>
    </w:p>
    <w:p>
      <w:pPr>
        <w:numPr>
          <w:ilvl w:val="0"/>
          <w:numId w:val="18"/>
        </w:numPr>
        <w:tabs>
          <w:tab w:val="left" w:pos="851"/>
        </w:tabs>
        <w:adjustRightInd w:val="0"/>
        <w:snapToGrid w:val="0"/>
        <w:spacing w:beforeLines="100" w:afterLines="100" w:line="400" w:lineRule="exact"/>
        <w:ind w:left="851" w:hanging="851"/>
        <w:jc w:val="left"/>
        <w:rPr>
          <w:color w:val="FF0000"/>
          <w:sz w:val="22"/>
          <w:szCs w:val="22"/>
          <w:u w:val="single"/>
        </w:rPr>
      </w:pPr>
      <w:r>
        <w:rPr>
          <w:rFonts w:hint="eastAsia" w:hAnsi="宋体"/>
          <w:color w:val="FF0000"/>
          <w:sz w:val="22"/>
          <w:szCs w:val="22"/>
        </w:rPr>
        <w:t>其它：</w:t>
      </w:r>
      <w:r>
        <w:rPr>
          <w:rFonts w:hint="eastAsia" w:hAnsi="宋体"/>
          <w:color w:val="FF0000"/>
          <w:sz w:val="22"/>
          <w:szCs w:val="22"/>
          <w:u w:val="single"/>
        </w:rPr>
        <w:t>承包方需按照发包方提供的主要材料参考品牌表以及实际材料样板采购工程材料不得低于同等品牌的档次，使用前须经发包方确认后方可使用，否则发包方有权要求发包方重新采购材料，由此导致的工期延误和经济损失，由承包方负责。</w:t>
      </w:r>
    </w:p>
    <w:p>
      <w:pPr>
        <w:numPr>
          <w:ilvl w:val="0"/>
          <w:numId w:val="18"/>
        </w:numPr>
        <w:tabs>
          <w:tab w:val="left" w:pos="851"/>
        </w:tabs>
        <w:adjustRightInd w:val="0"/>
        <w:snapToGrid w:val="0"/>
        <w:spacing w:beforeLines="100" w:afterLines="100" w:line="240" w:lineRule="auto"/>
        <w:ind w:left="851" w:hanging="851"/>
        <w:jc w:val="left"/>
        <w:rPr>
          <w:sz w:val="22"/>
          <w:szCs w:val="22"/>
        </w:rPr>
      </w:pPr>
      <w:r>
        <w:rPr>
          <w:rFonts w:hint="eastAsia" w:hAnsi="宋体"/>
          <w:sz w:val="22"/>
          <w:szCs w:val="22"/>
        </w:rPr>
        <w:t>除非双方协议将合同终止，或因一方违约使合同无法履行，违约方承担上述违约责任后仍应继续履行合同。</w:t>
      </w:r>
    </w:p>
    <w:p>
      <w:pPr>
        <w:numPr>
          <w:ilvl w:val="0"/>
          <w:numId w:val="1"/>
        </w:numPr>
        <w:tabs>
          <w:tab w:val="left" w:pos="851"/>
        </w:tabs>
        <w:adjustRightInd w:val="0"/>
        <w:snapToGrid w:val="0"/>
        <w:spacing w:beforeLines="100" w:afterLines="100" w:line="240" w:lineRule="auto"/>
        <w:ind w:left="0" w:firstLine="0"/>
        <w:jc w:val="left"/>
        <w:rPr>
          <w:sz w:val="22"/>
          <w:szCs w:val="22"/>
        </w:rPr>
      </w:pPr>
      <w:bookmarkStart w:id="6" w:name="OLE_LINK9"/>
      <w:bookmarkStart w:id="7" w:name="OLE_LINK10"/>
      <w:r>
        <w:rPr>
          <w:rFonts w:hint="eastAsia"/>
          <w:sz w:val="22"/>
          <w:szCs w:val="22"/>
        </w:rPr>
        <w:t>合同适用范围</w:t>
      </w:r>
    </w:p>
    <w:p>
      <w:pPr>
        <w:tabs>
          <w:tab w:val="left" w:pos="851"/>
        </w:tabs>
        <w:adjustRightInd w:val="0"/>
        <w:snapToGrid w:val="0"/>
        <w:spacing w:beforeLines="100" w:afterLines="100" w:line="240" w:lineRule="auto"/>
        <w:ind w:left="851"/>
        <w:jc w:val="left"/>
        <w:rPr>
          <w:sz w:val="22"/>
          <w:szCs w:val="22"/>
        </w:rPr>
      </w:pPr>
      <w:r>
        <w:rPr>
          <w:rFonts w:hint="eastAsia"/>
          <w:sz w:val="22"/>
          <w:szCs w:val="22"/>
        </w:rPr>
        <w:t>本合同适用小型工程项目。小型工程项目的规模划分及分类按照建设部《关于印发</w:t>
      </w:r>
      <w:r>
        <w:rPr>
          <w:sz w:val="22"/>
          <w:szCs w:val="22"/>
        </w:rPr>
        <w:t>&lt;</w:t>
      </w:r>
      <w:r>
        <w:rPr>
          <w:rFonts w:hint="eastAsia"/>
          <w:sz w:val="22"/>
          <w:szCs w:val="22"/>
        </w:rPr>
        <w:t>注册建造师执业工程规模标准</w:t>
      </w:r>
      <w:r>
        <w:rPr>
          <w:sz w:val="22"/>
          <w:szCs w:val="22"/>
        </w:rPr>
        <w:t>&gt;</w:t>
      </w:r>
      <w:r>
        <w:rPr>
          <w:rFonts w:hint="eastAsia"/>
          <w:sz w:val="22"/>
          <w:szCs w:val="22"/>
        </w:rPr>
        <w:t>（试行）的通知（建市</w:t>
      </w:r>
      <w:r>
        <w:rPr>
          <w:sz w:val="22"/>
          <w:szCs w:val="22"/>
        </w:rPr>
        <w:t>[2007]171</w:t>
      </w:r>
      <w:r>
        <w:rPr>
          <w:rFonts w:hint="eastAsia"/>
          <w:sz w:val="22"/>
          <w:szCs w:val="22"/>
        </w:rPr>
        <w:t>号）》的规模划分及分类标准执行。</w:t>
      </w:r>
    </w:p>
    <w:bookmarkEnd w:id="6"/>
    <w:bookmarkEnd w:id="7"/>
    <w:p>
      <w:pPr>
        <w:numPr>
          <w:ilvl w:val="0"/>
          <w:numId w:val="1"/>
        </w:numPr>
        <w:tabs>
          <w:tab w:val="left" w:pos="851"/>
        </w:tabs>
        <w:adjustRightInd w:val="0"/>
        <w:snapToGrid w:val="0"/>
        <w:spacing w:beforeLines="100" w:afterLines="100" w:line="240" w:lineRule="auto"/>
        <w:ind w:left="0" w:firstLine="0"/>
        <w:jc w:val="left"/>
        <w:rPr>
          <w:rFonts w:hAnsi="宋体"/>
          <w:sz w:val="22"/>
          <w:szCs w:val="22"/>
        </w:rPr>
      </w:pPr>
      <w:r>
        <w:rPr>
          <w:rFonts w:hint="eastAsia" w:hAnsi="宋体"/>
          <w:sz w:val="22"/>
          <w:szCs w:val="22"/>
        </w:rPr>
        <w:t>签订时间和地点</w:t>
      </w:r>
    </w:p>
    <w:p>
      <w:pPr>
        <w:tabs>
          <w:tab w:val="left" w:pos="851"/>
        </w:tabs>
        <w:adjustRightInd w:val="0"/>
        <w:snapToGrid w:val="0"/>
        <w:spacing w:beforeLines="100" w:afterLines="100" w:line="240" w:lineRule="auto"/>
        <w:ind w:left="851"/>
        <w:jc w:val="left"/>
        <w:rPr>
          <w:rFonts w:hAnsi="宋体"/>
          <w:sz w:val="22"/>
          <w:szCs w:val="22"/>
        </w:rPr>
      </w:pPr>
      <w:r>
        <w:rPr>
          <w:rFonts w:hint="eastAsia" w:hAnsi="宋体"/>
          <w:sz w:val="22"/>
          <w:szCs w:val="22"/>
        </w:rPr>
        <w:t>本合同于</w:t>
      </w:r>
      <w:r>
        <w:rPr>
          <w:rFonts w:hAnsi="宋体"/>
          <w:sz w:val="22"/>
          <w:szCs w:val="22"/>
          <w:u w:val="single"/>
        </w:rPr>
        <w:t> 201</w:t>
      </w:r>
      <w:r>
        <w:rPr>
          <w:rFonts w:hint="eastAsia" w:hAnsi="宋体"/>
          <w:sz w:val="22"/>
          <w:szCs w:val="22"/>
          <w:u w:val="single"/>
          <w:lang w:val="en-US" w:eastAsia="zh-CN"/>
        </w:rPr>
        <w:t>8</w:t>
      </w:r>
      <w:r>
        <w:rPr>
          <w:rFonts w:hAnsi="宋体"/>
          <w:sz w:val="22"/>
          <w:szCs w:val="22"/>
          <w:u w:val="single"/>
        </w:rPr>
        <w:t> </w:t>
      </w:r>
      <w:r>
        <w:rPr>
          <w:rFonts w:hint="eastAsia" w:hAnsi="宋体"/>
          <w:sz w:val="22"/>
          <w:szCs w:val="22"/>
        </w:rPr>
        <w:t>年</w:t>
      </w:r>
      <w:r>
        <w:rPr>
          <w:rFonts w:hAnsi="宋体"/>
          <w:sz w:val="22"/>
          <w:szCs w:val="22"/>
          <w:u w:val="single"/>
        </w:rPr>
        <w:t xml:space="preserve">    </w:t>
      </w:r>
      <w:r>
        <w:rPr>
          <w:rFonts w:hint="eastAsia" w:hAnsi="宋体"/>
          <w:sz w:val="22"/>
          <w:szCs w:val="22"/>
        </w:rPr>
        <w:t>月</w:t>
      </w:r>
      <w:r>
        <w:rPr>
          <w:rFonts w:hAnsi="宋体"/>
          <w:sz w:val="22"/>
          <w:szCs w:val="22"/>
          <w:u w:val="single"/>
        </w:rPr>
        <w:t> </w:t>
      </w:r>
      <w:r>
        <w:rPr>
          <w:rFonts w:hint="eastAsia" w:hAnsi="宋体"/>
          <w:sz w:val="22"/>
          <w:szCs w:val="22"/>
        </w:rPr>
        <w:t>日签订于</w:t>
      </w:r>
      <w:r>
        <w:rPr>
          <w:rFonts w:hAnsi="宋体"/>
          <w:sz w:val="22"/>
          <w:szCs w:val="22"/>
          <w:u w:val="single"/>
        </w:rPr>
        <w:t xml:space="preserve"> </w:t>
      </w:r>
      <w:r>
        <w:rPr>
          <w:rFonts w:hint="eastAsia" w:hAnsi="宋体"/>
          <w:sz w:val="22"/>
          <w:szCs w:val="22"/>
          <w:u w:val="single"/>
        </w:rPr>
        <w:t>白云区嘉禾上胜东街</w:t>
      </w:r>
      <w:r>
        <w:rPr>
          <w:rFonts w:hAnsi="宋体"/>
          <w:sz w:val="22"/>
          <w:szCs w:val="22"/>
          <w:u w:val="single"/>
        </w:rPr>
        <w:t>23</w:t>
      </w:r>
      <w:r>
        <w:rPr>
          <w:rFonts w:hint="eastAsia" w:hAnsi="宋体"/>
          <w:sz w:val="22"/>
          <w:szCs w:val="22"/>
          <w:u w:val="single"/>
        </w:rPr>
        <w:t>号（</w:t>
      </w:r>
      <w:r>
        <w:rPr>
          <w:rFonts w:hAnsi="宋体"/>
          <w:sz w:val="22"/>
          <w:szCs w:val="22"/>
          <w:u w:val="single"/>
        </w:rPr>
        <w:t xml:space="preserve"> </w:t>
      </w:r>
      <w:r>
        <w:rPr>
          <w:rFonts w:hint="eastAsia" w:hAnsi="宋体"/>
          <w:sz w:val="22"/>
          <w:szCs w:val="22"/>
          <w:u w:val="single"/>
        </w:rPr>
        <w:t>广州市交通运输职业学校嘉禾校区）</w:t>
      </w:r>
      <w:r>
        <w:rPr>
          <w:rFonts w:hAnsi="宋体"/>
          <w:sz w:val="22"/>
          <w:szCs w:val="22"/>
          <w:u w:val="single"/>
        </w:rPr>
        <w:t xml:space="preserve">   </w:t>
      </w:r>
      <w:r>
        <w:rPr>
          <w:rFonts w:hint="eastAsia" w:hAnsi="宋体"/>
          <w:sz w:val="22"/>
          <w:szCs w:val="22"/>
        </w:rPr>
        <w:t>。</w:t>
      </w:r>
    </w:p>
    <w:p>
      <w:pPr>
        <w:numPr>
          <w:ilvl w:val="0"/>
          <w:numId w:val="1"/>
        </w:numPr>
        <w:tabs>
          <w:tab w:val="left" w:pos="851"/>
        </w:tabs>
        <w:adjustRightInd w:val="0"/>
        <w:snapToGrid w:val="0"/>
        <w:spacing w:beforeLines="100" w:afterLines="100" w:line="240" w:lineRule="auto"/>
        <w:ind w:left="0" w:firstLine="0"/>
        <w:jc w:val="left"/>
        <w:rPr>
          <w:sz w:val="22"/>
          <w:szCs w:val="22"/>
        </w:rPr>
      </w:pPr>
      <w:r>
        <w:rPr>
          <w:rFonts w:hint="eastAsia" w:hAnsi="宋体"/>
          <w:bCs/>
          <w:sz w:val="22"/>
          <w:szCs w:val="22"/>
        </w:rPr>
        <w:t>合同份数</w:t>
      </w:r>
    </w:p>
    <w:p>
      <w:pPr>
        <w:adjustRightInd w:val="0"/>
        <w:spacing w:line="240" w:lineRule="auto"/>
        <w:ind w:left="812"/>
        <w:textAlignment w:val="baseline"/>
        <w:rPr>
          <w:rFonts w:ascii="宋体"/>
          <w:szCs w:val="21"/>
        </w:rPr>
      </w:pPr>
      <w:r>
        <w:rPr>
          <w:rFonts w:hint="eastAsia" w:ascii="宋体" w:hAnsi="宋体"/>
          <w:szCs w:val="21"/>
        </w:rPr>
        <w:t>本合同一式</w:t>
      </w:r>
      <w:r>
        <w:rPr>
          <w:rFonts w:ascii="宋体" w:hAnsi="宋体"/>
          <w:szCs w:val="21"/>
        </w:rPr>
        <w:t>__</w:t>
      </w:r>
      <w:r>
        <w:rPr>
          <w:rFonts w:hint="eastAsia" w:ascii="宋体" w:hAnsi="宋体"/>
          <w:szCs w:val="21"/>
          <w:u w:val="single"/>
        </w:rPr>
        <w:t>肆</w:t>
      </w:r>
      <w:r>
        <w:rPr>
          <w:rFonts w:ascii="宋体" w:hAnsi="宋体"/>
          <w:szCs w:val="21"/>
        </w:rPr>
        <w:t>_</w:t>
      </w:r>
      <w:r>
        <w:rPr>
          <w:rFonts w:hint="eastAsia" w:ascii="宋体" w:hAnsi="宋体"/>
          <w:szCs w:val="21"/>
        </w:rPr>
        <w:t>份，甲方执</w:t>
      </w:r>
      <w:r>
        <w:rPr>
          <w:rFonts w:ascii="宋体" w:hAnsi="宋体"/>
          <w:szCs w:val="21"/>
          <w:u w:val="single"/>
        </w:rPr>
        <w:t xml:space="preserve">  </w:t>
      </w:r>
      <w:r>
        <w:rPr>
          <w:rFonts w:hint="eastAsia" w:ascii="宋体" w:hAnsi="宋体"/>
          <w:szCs w:val="21"/>
          <w:u w:val="single"/>
        </w:rPr>
        <w:t>两</w:t>
      </w:r>
      <w:r>
        <w:rPr>
          <w:rFonts w:ascii="宋体" w:hAnsi="宋体"/>
          <w:szCs w:val="21"/>
          <w:u w:val="single"/>
        </w:rPr>
        <w:t xml:space="preserve"> </w:t>
      </w:r>
      <w:r>
        <w:rPr>
          <w:rFonts w:hint="eastAsia" w:ascii="宋体" w:hAnsi="宋体"/>
          <w:szCs w:val="21"/>
        </w:rPr>
        <w:t>份、乙方执</w:t>
      </w:r>
      <w:r>
        <w:rPr>
          <w:rFonts w:ascii="宋体" w:hAnsi="宋体"/>
          <w:szCs w:val="21"/>
          <w:u w:val="single"/>
        </w:rPr>
        <w:t xml:space="preserve">  </w:t>
      </w:r>
      <w:r>
        <w:rPr>
          <w:rFonts w:hint="eastAsia" w:ascii="宋体" w:hAnsi="宋体"/>
          <w:szCs w:val="21"/>
          <w:u w:val="single"/>
        </w:rPr>
        <w:t>两</w:t>
      </w:r>
      <w:r>
        <w:rPr>
          <w:rFonts w:ascii="宋体" w:hAnsi="宋体"/>
          <w:szCs w:val="21"/>
          <w:u w:val="single"/>
        </w:rPr>
        <w:t xml:space="preserve"> </w:t>
      </w:r>
      <w:r>
        <w:rPr>
          <w:rFonts w:hint="eastAsia" w:ascii="宋体" w:hAnsi="宋体"/>
          <w:szCs w:val="21"/>
        </w:rPr>
        <w:t>份，具有同等法律效力。由双方法定代表人或其授权代表签字并加盖公章之日起生效，双方履行完合同规定的义务后自动终止。</w:t>
      </w:r>
    </w:p>
    <w:p>
      <w:pPr>
        <w:numPr>
          <w:ilvl w:val="0"/>
          <w:numId w:val="1"/>
        </w:numPr>
        <w:tabs>
          <w:tab w:val="left" w:pos="851"/>
        </w:tabs>
        <w:adjustRightInd w:val="0"/>
        <w:snapToGrid w:val="0"/>
        <w:spacing w:beforeLines="100" w:afterLines="100" w:line="240" w:lineRule="auto"/>
        <w:ind w:left="0" w:firstLine="0"/>
        <w:jc w:val="left"/>
        <w:rPr>
          <w:rFonts w:ascii="宋体"/>
          <w:szCs w:val="21"/>
        </w:rPr>
      </w:pPr>
      <w:r>
        <w:rPr>
          <w:rFonts w:hint="eastAsia" w:ascii="宋体"/>
          <w:szCs w:val="21"/>
        </w:rPr>
        <w:t>补充协议或条款</w:t>
      </w:r>
    </w:p>
    <w:p>
      <w:pPr>
        <w:numPr>
          <w:ilvl w:val="0"/>
          <w:numId w:val="20"/>
        </w:numPr>
        <w:tabs>
          <w:tab w:val="left" w:pos="851"/>
        </w:tabs>
        <w:adjustRightInd w:val="0"/>
        <w:snapToGrid w:val="0"/>
        <w:spacing w:beforeLines="100" w:afterLines="100" w:line="240" w:lineRule="auto"/>
        <w:ind w:left="851" w:hanging="851"/>
        <w:jc w:val="left"/>
        <w:rPr>
          <w:rFonts w:ascii="宋体"/>
          <w:szCs w:val="21"/>
        </w:rPr>
      </w:pPr>
      <w:r>
        <w:rPr>
          <w:rFonts w:hint="eastAsia" w:ascii="宋体" w:hAnsi="宋体"/>
          <w:szCs w:val="21"/>
        </w:rPr>
        <w:t>本合同未尽事宜，由双方另行签订补充协议或补充条款解决，并与本合同具有同等法律效力。</w:t>
      </w:r>
    </w:p>
    <w:p>
      <w:pPr>
        <w:numPr>
          <w:ilvl w:val="0"/>
          <w:numId w:val="20"/>
        </w:numPr>
        <w:tabs>
          <w:tab w:val="left" w:pos="851"/>
        </w:tabs>
        <w:adjustRightInd w:val="0"/>
        <w:snapToGrid w:val="0"/>
        <w:spacing w:beforeLines="100" w:afterLines="100" w:line="240" w:lineRule="auto"/>
        <w:ind w:left="851" w:hanging="851"/>
        <w:jc w:val="left"/>
        <w:rPr>
          <w:sz w:val="22"/>
          <w:szCs w:val="22"/>
          <w:u w:val="single"/>
        </w:rPr>
      </w:pPr>
      <w:r>
        <w:rPr>
          <w:rFonts w:hint="eastAsia" w:hAnsi="宋体"/>
          <w:bCs/>
          <w:sz w:val="22"/>
          <w:szCs w:val="22"/>
        </w:rPr>
        <w:t>补充条款：</w:t>
      </w:r>
    </w:p>
    <w:p>
      <w:pPr>
        <w:numPr>
          <w:ilvl w:val="0"/>
          <w:numId w:val="0"/>
        </w:numPr>
        <w:tabs>
          <w:tab w:val="left" w:pos="851"/>
        </w:tabs>
        <w:adjustRightInd w:val="0"/>
        <w:snapToGrid w:val="0"/>
        <w:spacing w:beforeLines="100" w:afterLines="100" w:line="240" w:lineRule="auto"/>
        <w:ind w:leftChars="0" w:firstLine="880" w:firstLineChars="400"/>
        <w:jc w:val="left"/>
        <w:rPr>
          <w:sz w:val="22"/>
          <w:szCs w:val="22"/>
          <w:u w:val="single"/>
        </w:rPr>
      </w:pPr>
      <w:r>
        <w:rPr>
          <w:rFonts w:hint="eastAsia"/>
          <w:sz w:val="22"/>
          <w:szCs w:val="22"/>
          <w:u w:val="single"/>
          <w:lang w:val="en-US" w:eastAsia="zh-CN"/>
        </w:rPr>
        <w:t xml:space="preserve">                   </w:t>
      </w:r>
      <w:r>
        <w:rPr>
          <w:rFonts w:hint="eastAsia"/>
          <w:b/>
          <w:bCs/>
          <w:color w:val="auto"/>
          <w:sz w:val="22"/>
          <w:szCs w:val="22"/>
          <w:u w:val="single"/>
          <w:lang w:val="en-US" w:eastAsia="zh-CN"/>
        </w:rPr>
        <w:t xml:space="preserve">  / </w:t>
      </w:r>
      <w:r>
        <w:rPr>
          <w:rFonts w:hint="eastAsia"/>
          <w:sz w:val="22"/>
          <w:szCs w:val="22"/>
          <w:u w:val="single"/>
          <w:lang w:val="en-US" w:eastAsia="zh-CN"/>
        </w:rPr>
        <w:t xml:space="preserve">                                          </w:t>
      </w:r>
      <w:r>
        <w:rPr>
          <w:rFonts w:hint="eastAsia"/>
          <w:sz w:val="22"/>
          <w:szCs w:val="22"/>
          <w:u w:val="none"/>
          <w:lang w:val="en-US" w:eastAsia="zh-CN"/>
        </w:rPr>
        <w:t xml:space="preserve"> ；</w:t>
      </w:r>
      <w:r>
        <w:rPr>
          <w:sz w:val="22"/>
          <w:szCs w:val="22"/>
          <w:u w:val="single"/>
        </w:rPr>
        <w:br w:type="page"/>
      </w:r>
    </w:p>
    <w:tbl>
      <w:tblPr>
        <w:tblStyle w:val="9"/>
        <w:tblpPr w:leftFromText="180" w:rightFromText="180" w:vertAnchor="text" w:horzAnchor="page" w:tblpX="1398" w:tblpY="1524"/>
        <w:tblW w:w="10045" w:type="dxa"/>
        <w:tblInd w:w="0" w:type="dxa"/>
        <w:tblLayout w:type="fixed"/>
        <w:tblCellMar>
          <w:top w:w="0" w:type="dxa"/>
          <w:left w:w="108" w:type="dxa"/>
          <w:bottom w:w="0" w:type="dxa"/>
          <w:right w:w="108" w:type="dxa"/>
        </w:tblCellMar>
      </w:tblPr>
      <w:tblGrid>
        <w:gridCol w:w="1465"/>
        <w:gridCol w:w="301"/>
        <w:gridCol w:w="3184"/>
        <w:gridCol w:w="1560"/>
        <w:gridCol w:w="390"/>
        <w:gridCol w:w="3145"/>
      </w:tblGrid>
      <w:tr>
        <w:tblPrEx>
          <w:tblLayout w:type="fixed"/>
          <w:tblCellMar>
            <w:top w:w="0" w:type="dxa"/>
            <w:left w:w="108" w:type="dxa"/>
            <w:bottom w:w="0" w:type="dxa"/>
            <w:right w:w="108" w:type="dxa"/>
          </w:tblCellMar>
        </w:tblPrEx>
        <w:trPr>
          <w:cantSplit/>
          <w:trHeight w:val="1625" w:hRule="atLeast"/>
        </w:trPr>
        <w:tc>
          <w:tcPr>
            <w:tcW w:w="1465" w:type="dxa"/>
            <w:vAlign w:val="center"/>
          </w:tcPr>
          <w:p>
            <w:pPr>
              <w:adjustRightInd w:val="0"/>
              <w:snapToGrid w:val="0"/>
              <w:spacing w:line="480" w:lineRule="auto"/>
              <w:jc w:val="both"/>
              <w:rPr>
                <w:rFonts w:hint="eastAsia" w:hAnsi="宋体"/>
                <w:sz w:val="22"/>
                <w:szCs w:val="22"/>
                <w:u w:val="single"/>
              </w:rPr>
            </w:pPr>
          </w:p>
          <w:p>
            <w:pPr>
              <w:adjustRightInd w:val="0"/>
              <w:snapToGrid w:val="0"/>
              <w:spacing w:line="480" w:lineRule="auto"/>
              <w:jc w:val="both"/>
              <w:rPr>
                <w:sz w:val="22"/>
                <w:szCs w:val="22"/>
                <w:u w:val="single"/>
              </w:rPr>
            </w:pPr>
            <w:r>
              <w:rPr>
                <w:rFonts w:hint="eastAsia" w:hAnsi="宋体"/>
                <w:sz w:val="22"/>
                <w:szCs w:val="22"/>
                <w:u w:val="single"/>
              </w:rPr>
              <w:t>发包人</w:t>
            </w:r>
          </w:p>
        </w:tc>
        <w:tc>
          <w:tcPr>
            <w:tcW w:w="301" w:type="dxa"/>
            <w:vAlign w:val="center"/>
          </w:tcPr>
          <w:p>
            <w:pPr>
              <w:adjustRightInd w:val="0"/>
              <w:snapToGrid w:val="0"/>
              <w:spacing w:line="480" w:lineRule="auto"/>
              <w:jc w:val="both"/>
              <w:rPr>
                <w:sz w:val="22"/>
                <w:szCs w:val="22"/>
              </w:rPr>
            </w:pPr>
            <w:r>
              <w:rPr>
                <w:sz w:val="22"/>
                <w:szCs w:val="22"/>
              </w:rPr>
              <w:t>:</w:t>
            </w:r>
          </w:p>
        </w:tc>
        <w:tc>
          <w:tcPr>
            <w:tcW w:w="3184" w:type="dxa"/>
            <w:vAlign w:val="center"/>
          </w:tcPr>
          <w:p>
            <w:pPr>
              <w:adjustRightInd w:val="0"/>
              <w:snapToGrid w:val="0"/>
              <w:spacing w:line="480" w:lineRule="auto"/>
              <w:jc w:val="both"/>
              <w:rPr>
                <w:rFonts w:hint="eastAsia"/>
                <w:sz w:val="22"/>
                <w:szCs w:val="22"/>
              </w:rPr>
            </w:pPr>
          </w:p>
          <w:p>
            <w:pPr>
              <w:adjustRightInd w:val="0"/>
              <w:snapToGrid w:val="0"/>
              <w:spacing w:line="480" w:lineRule="auto"/>
              <w:jc w:val="both"/>
              <w:rPr>
                <w:sz w:val="22"/>
                <w:szCs w:val="22"/>
              </w:rPr>
            </w:pPr>
            <w:r>
              <w:rPr>
                <w:rFonts w:hint="eastAsia"/>
                <w:sz w:val="22"/>
                <w:szCs w:val="22"/>
                <w:u w:val="single"/>
              </w:rPr>
              <w:t>广州市交通运输职业学校</w:t>
            </w:r>
          </w:p>
        </w:tc>
        <w:tc>
          <w:tcPr>
            <w:tcW w:w="1560" w:type="dxa"/>
            <w:vAlign w:val="center"/>
          </w:tcPr>
          <w:p>
            <w:pPr>
              <w:adjustRightInd w:val="0"/>
              <w:snapToGrid w:val="0"/>
              <w:spacing w:line="480" w:lineRule="auto"/>
              <w:jc w:val="both"/>
              <w:rPr>
                <w:rFonts w:hint="eastAsia" w:hAnsi="宋体"/>
                <w:sz w:val="22"/>
                <w:szCs w:val="22"/>
                <w:u w:val="single"/>
              </w:rPr>
            </w:pPr>
          </w:p>
          <w:p>
            <w:pPr>
              <w:adjustRightInd w:val="0"/>
              <w:snapToGrid w:val="0"/>
              <w:spacing w:line="480" w:lineRule="auto"/>
              <w:jc w:val="both"/>
              <w:rPr>
                <w:sz w:val="22"/>
                <w:szCs w:val="22"/>
                <w:u w:val="single"/>
              </w:rPr>
            </w:pPr>
            <w:r>
              <w:rPr>
                <w:rFonts w:hint="eastAsia" w:hAnsi="宋体"/>
                <w:sz w:val="22"/>
                <w:szCs w:val="22"/>
                <w:u w:val="single"/>
              </w:rPr>
              <w:t>承包人</w:t>
            </w:r>
          </w:p>
        </w:tc>
        <w:tc>
          <w:tcPr>
            <w:tcW w:w="390" w:type="dxa"/>
            <w:vAlign w:val="center"/>
          </w:tcPr>
          <w:p>
            <w:pPr>
              <w:adjustRightInd w:val="0"/>
              <w:snapToGrid w:val="0"/>
              <w:spacing w:line="480" w:lineRule="auto"/>
              <w:jc w:val="both"/>
              <w:rPr>
                <w:sz w:val="22"/>
                <w:szCs w:val="22"/>
              </w:rPr>
            </w:pPr>
            <w:r>
              <w:rPr>
                <w:sz w:val="22"/>
                <w:szCs w:val="22"/>
              </w:rPr>
              <w:t>:</w:t>
            </w:r>
          </w:p>
        </w:tc>
        <w:tc>
          <w:tcPr>
            <w:tcW w:w="3145" w:type="dxa"/>
            <w:vAlign w:val="center"/>
          </w:tcPr>
          <w:p>
            <w:pPr>
              <w:adjustRightInd w:val="0"/>
              <w:snapToGrid w:val="0"/>
              <w:spacing w:line="480" w:lineRule="auto"/>
              <w:jc w:val="both"/>
              <w:rPr>
                <w:rFonts w:hint="eastAsia"/>
                <w:sz w:val="20"/>
                <w:szCs w:val="20"/>
              </w:rPr>
            </w:pPr>
          </w:p>
          <w:p>
            <w:pPr>
              <w:adjustRightInd w:val="0"/>
              <w:snapToGrid w:val="0"/>
              <w:spacing w:line="480" w:lineRule="auto"/>
              <w:jc w:val="both"/>
              <w:rPr>
                <w:rFonts w:hint="eastAsia" w:eastAsia="宋体"/>
                <w:sz w:val="20"/>
                <w:szCs w:val="20"/>
                <w:lang w:val="en-US" w:eastAsia="zh-CN"/>
              </w:rPr>
            </w:pPr>
          </w:p>
        </w:tc>
      </w:tr>
      <w:tr>
        <w:tblPrEx>
          <w:tblLayout w:type="fixed"/>
          <w:tblCellMar>
            <w:top w:w="0" w:type="dxa"/>
            <w:left w:w="108" w:type="dxa"/>
            <w:bottom w:w="0" w:type="dxa"/>
            <w:right w:w="108" w:type="dxa"/>
          </w:tblCellMar>
        </w:tblPrEx>
        <w:trPr>
          <w:cantSplit/>
          <w:trHeight w:val="755" w:hRule="atLeast"/>
        </w:trPr>
        <w:tc>
          <w:tcPr>
            <w:tcW w:w="1465" w:type="dxa"/>
            <w:vAlign w:val="center"/>
          </w:tcPr>
          <w:p>
            <w:pPr>
              <w:adjustRightInd w:val="0"/>
              <w:snapToGrid w:val="0"/>
              <w:spacing w:line="480" w:lineRule="auto"/>
              <w:jc w:val="both"/>
              <w:rPr>
                <w:sz w:val="22"/>
                <w:szCs w:val="22"/>
                <w:u w:val="single"/>
              </w:rPr>
            </w:pPr>
            <w:r>
              <w:rPr>
                <w:rFonts w:hint="eastAsia" w:hAnsi="宋体"/>
                <w:sz w:val="22"/>
                <w:szCs w:val="22"/>
                <w:u w:val="single"/>
              </w:rPr>
              <w:t>（公章）</w:t>
            </w:r>
          </w:p>
        </w:tc>
        <w:tc>
          <w:tcPr>
            <w:tcW w:w="301" w:type="dxa"/>
            <w:vAlign w:val="center"/>
          </w:tcPr>
          <w:p>
            <w:pPr>
              <w:adjustRightInd w:val="0"/>
              <w:snapToGrid w:val="0"/>
              <w:spacing w:line="480" w:lineRule="auto"/>
              <w:jc w:val="both"/>
              <w:rPr>
                <w:sz w:val="22"/>
                <w:szCs w:val="22"/>
              </w:rPr>
            </w:pPr>
            <w:r>
              <w:rPr>
                <w:sz w:val="22"/>
                <w:szCs w:val="22"/>
              </w:rPr>
              <w:t>:</w:t>
            </w:r>
          </w:p>
        </w:tc>
        <w:tc>
          <w:tcPr>
            <w:tcW w:w="3184" w:type="dxa"/>
            <w:vAlign w:val="center"/>
          </w:tcPr>
          <w:p>
            <w:pPr>
              <w:adjustRightInd w:val="0"/>
              <w:snapToGrid w:val="0"/>
              <w:spacing w:line="480" w:lineRule="auto"/>
              <w:jc w:val="both"/>
              <w:rPr>
                <w:sz w:val="22"/>
                <w:szCs w:val="22"/>
              </w:rPr>
            </w:pPr>
          </w:p>
          <w:p>
            <w:pPr>
              <w:adjustRightInd w:val="0"/>
              <w:snapToGrid w:val="0"/>
              <w:spacing w:line="480" w:lineRule="auto"/>
              <w:jc w:val="both"/>
              <w:rPr>
                <w:sz w:val="22"/>
                <w:szCs w:val="22"/>
              </w:rPr>
            </w:pPr>
          </w:p>
        </w:tc>
        <w:tc>
          <w:tcPr>
            <w:tcW w:w="1560" w:type="dxa"/>
            <w:vAlign w:val="center"/>
          </w:tcPr>
          <w:p>
            <w:pPr>
              <w:adjustRightInd w:val="0"/>
              <w:snapToGrid w:val="0"/>
              <w:spacing w:line="480" w:lineRule="auto"/>
              <w:jc w:val="both"/>
              <w:rPr>
                <w:sz w:val="22"/>
                <w:szCs w:val="22"/>
                <w:u w:val="single"/>
              </w:rPr>
            </w:pPr>
            <w:r>
              <w:rPr>
                <w:rFonts w:hint="eastAsia" w:hAnsi="宋体"/>
                <w:sz w:val="22"/>
                <w:szCs w:val="22"/>
                <w:u w:val="single"/>
              </w:rPr>
              <w:t>（公章）</w:t>
            </w:r>
          </w:p>
        </w:tc>
        <w:tc>
          <w:tcPr>
            <w:tcW w:w="390" w:type="dxa"/>
            <w:vAlign w:val="center"/>
          </w:tcPr>
          <w:p>
            <w:pPr>
              <w:adjustRightInd w:val="0"/>
              <w:snapToGrid w:val="0"/>
              <w:spacing w:line="480" w:lineRule="auto"/>
              <w:jc w:val="both"/>
              <w:rPr>
                <w:sz w:val="22"/>
                <w:szCs w:val="22"/>
              </w:rPr>
            </w:pPr>
            <w:r>
              <w:rPr>
                <w:sz w:val="22"/>
                <w:szCs w:val="22"/>
              </w:rPr>
              <w:t>:</w:t>
            </w:r>
          </w:p>
        </w:tc>
        <w:tc>
          <w:tcPr>
            <w:tcW w:w="3145" w:type="dxa"/>
            <w:vAlign w:val="center"/>
          </w:tcPr>
          <w:p>
            <w:pPr>
              <w:adjustRightInd w:val="0"/>
              <w:snapToGrid w:val="0"/>
              <w:spacing w:line="480" w:lineRule="auto"/>
              <w:jc w:val="both"/>
              <w:rPr>
                <w:sz w:val="22"/>
                <w:szCs w:val="22"/>
              </w:rPr>
            </w:pPr>
          </w:p>
        </w:tc>
      </w:tr>
      <w:tr>
        <w:tblPrEx>
          <w:tblLayout w:type="fixed"/>
          <w:tblCellMar>
            <w:top w:w="0" w:type="dxa"/>
            <w:left w:w="108" w:type="dxa"/>
            <w:bottom w:w="0" w:type="dxa"/>
            <w:right w:w="108" w:type="dxa"/>
          </w:tblCellMar>
        </w:tblPrEx>
        <w:trPr>
          <w:cantSplit/>
          <w:trHeight w:val="787" w:hRule="atLeast"/>
        </w:trPr>
        <w:tc>
          <w:tcPr>
            <w:tcW w:w="1465" w:type="dxa"/>
            <w:vAlign w:val="center"/>
          </w:tcPr>
          <w:p>
            <w:pPr>
              <w:adjustRightInd w:val="0"/>
              <w:snapToGrid w:val="0"/>
              <w:spacing w:line="240" w:lineRule="auto"/>
              <w:jc w:val="both"/>
              <w:rPr>
                <w:sz w:val="22"/>
                <w:szCs w:val="22"/>
                <w:u w:val="single"/>
              </w:rPr>
            </w:pPr>
            <w:r>
              <w:rPr>
                <w:rFonts w:hint="eastAsia" w:hAnsi="宋体"/>
                <w:sz w:val="22"/>
                <w:szCs w:val="22"/>
                <w:u w:val="single"/>
              </w:rPr>
              <w:t>授权代表人（签字）</w:t>
            </w:r>
            <w:r>
              <w:rPr>
                <w:rFonts w:hAnsi="宋体"/>
                <w:sz w:val="22"/>
                <w:szCs w:val="22"/>
                <w:u w:val="single"/>
              </w:rPr>
              <w:t>/</w:t>
            </w:r>
          </w:p>
        </w:tc>
        <w:tc>
          <w:tcPr>
            <w:tcW w:w="301" w:type="dxa"/>
            <w:vAlign w:val="center"/>
          </w:tcPr>
          <w:p>
            <w:pPr>
              <w:adjustRightInd w:val="0"/>
              <w:snapToGrid w:val="0"/>
              <w:spacing w:line="480" w:lineRule="auto"/>
              <w:jc w:val="both"/>
              <w:rPr>
                <w:sz w:val="22"/>
                <w:szCs w:val="22"/>
              </w:rPr>
            </w:pPr>
          </w:p>
        </w:tc>
        <w:tc>
          <w:tcPr>
            <w:tcW w:w="3184" w:type="dxa"/>
            <w:vAlign w:val="center"/>
          </w:tcPr>
          <w:p>
            <w:pPr>
              <w:adjustRightInd w:val="0"/>
              <w:snapToGrid w:val="0"/>
              <w:spacing w:line="480" w:lineRule="auto"/>
              <w:jc w:val="both"/>
              <w:rPr>
                <w:sz w:val="22"/>
                <w:szCs w:val="22"/>
              </w:rPr>
            </w:pPr>
          </w:p>
        </w:tc>
        <w:tc>
          <w:tcPr>
            <w:tcW w:w="1560" w:type="dxa"/>
            <w:vAlign w:val="center"/>
          </w:tcPr>
          <w:p>
            <w:pPr>
              <w:adjustRightInd w:val="0"/>
              <w:snapToGrid w:val="0"/>
              <w:spacing w:line="480" w:lineRule="auto"/>
              <w:jc w:val="both"/>
              <w:rPr>
                <w:sz w:val="22"/>
                <w:szCs w:val="22"/>
                <w:u w:val="single"/>
              </w:rPr>
            </w:pPr>
            <w:r>
              <w:rPr>
                <w:rFonts w:hint="eastAsia" w:hAnsi="宋体"/>
                <w:sz w:val="22"/>
                <w:szCs w:val="22"/>
                <w:u w:val="single"/>
              </w:rPr>
              <w:t>法定代表人</w:t>
            </w:r>
            <w:r>
              <w:rPr>
                <w:rFonts w:hAnsi="宋体"/>
                <w:sz w:val="22"/>
                <w:szCs w:val="22"/>
                <w:u w:val="single"/>
              </w:rPr>
              <w:t>/</w:t>
            </w:r>
          </w:p>
        </w:tc>
        <w:tc>
          <w:tcPr>
            <w:tcW w:w="390" w:type="dxa"/>
            <w:vAlign w:val="center"/>
          </w:tcPr>
          <w:p>
            <w:pPr>
              <w:adjustRightInd w:val="0"/>
              <w:snapToGrid w:val="0"/>
              <w:spacing w:line="480" w:lineRule="auto"/>
              <w:jc w:val="both"/>
              <w:rPr>
                <w:sz w:val="22"/>
                <w:szCs w:val="22"/>
              </w:rPr>
            </w:pPr>
          </w:p>
        </w:tc>
        <w:tc>
          <w:tcPr>
            <w:tcW w:w="3145" w:type="dxa"/>
            <w:vAlign w:val="center"/>
          </w:tcPr>
          <w:p>
            <w:pPr>
              <w:adjustRightInd w:val="0"/>
              <w:snapToGrid w:val="0"/>
              <w:spacing w:line="480" w:lineRule="auto"/>
              <w:jc w:val="both"/>
              <w:rPr>
                <w:sz w:val="22"/>
                <w:szCs w:val="22"/>
              </w:rPr>
            </w:pPr>
          </w:p>
        </w:tc>
      </w:tr>
      <w:tr>
        <w:tblPrEx>
          <w:tblLayout w:type="fixed"/>
          <w:tblCellMar>
            <w:top w:w="0" w:type="dxa"/>
            <w:left w:w="108" w:type="dxa"/>
            <w:bottom w:w="0" w:type="dxa"/>
            <w:right w:w="108" w:type="dxa"/>
          </w:tblCellMar>
        </w:tblPrEx>
        <w:trPr>
          <w:cantSplit/>
          <w:trHeight w:val="838" w:hRule="atLeast"/>
        </w:trPr>
        <w:tc>
          <w:tcPr>
            <w:tcW w:w="1465" w:type="dxa"/>
            <w:vAlign w:val="center"/>
          </w:tcPr>
          <w:p>
            <w:pPr>
              <w:adjustRightInd w:val="0"/>
              <w:snapToGrid w:val="0"/>
              <w:spacing w:line="240" w:lineRule="auto"/>
              <w:jc w:val="both"/>
              <w:rPr>
                <w:sz w:val="22"/>
                <w:szCs w:val="22"/>
                <w:u w:val="single"/>
              </w:rPr>
            </w:pPr>
            <w:r>
              <w:rPr>
                <w:rFonts w:hint="eastAsia" w:hAnsi="宋体"/>
                <w:sz w:val="22"/>
                <w:szCs w:val="22"/>
                <w:u w:val="single"/>
                <w:lang w:eastAsia="zh-CN"/>
              </w:rPr>
              <w:t>项目负责</w:t>
            </w:r>
            <w:r>
              <w:rPr>
                <w:rFonts w:hint="eastAsia" w:hAnsi="宋体"/>
                <w:sz w:val="22"/>
                <w:szCs w:val="22"/>
                <w:u w:val="single"/>
              </w:rPr>
              <w:t>人（签字）</w:t>
            </w:r>
          </w:p>
        </w:tc>
        <w:tc>
          <w:tcPr>
            <w:tcW w:w="301" w:type="dxa"/>
            <w:vAlign w:val="center"/>
          </w:tcPr>
          <w:p>
            <w:pPr>
              <w:adjustRightInd w:val="0"/>
              <w:snapToGrid w:val="0"/>
              <w:spacing w:line="480" w:lineRule="auto"/>
              <w:jc w:val="both"/>
              <w:rPr>
                <w:sz w:val="22"/>
                <w:szCs w:val="22"/>
              </w:rPr>
            </w:pPr>
            <w:r>
              <w:rPr>
                <w:sz w:val="22"/>
                <w:szCs w:val="22"/>
              </w:rPr>
              <w:t>:</w:t>
            </w:r>
          </w:p>
        </w:tc>
        <w:tc>
          <w:tcPr>
            <w:tcW w:w="3184" w:type="dxa"/>
            <w:vAlign w:val="center"/>
          </w:tcPr>
          <w:p>
            <w:pPr>
              <w:adjustRightInd w:val="0"/>
              <w:snapToGrid w:val="0"/>
              <w:spacing w:line="480" w:lineRule="auto"/>
              <w:jc w:val="both"/>
              <w:rPr>
                <w:sz w:val="22"/>
                <w:szCs w:val="22"/>
              </w:rPr>
            </w:pPr>
          </w:p>
        </w:tc>
        <w:tc>
          <w:tcPr>
            <w:tcW w:w="1560" w:type="dxa"/>
            <w:vAlign w:val="center"/>
          </w:tcPr>
          <w:p>
            <w:pPr>
              <w:adjustRightInd w:val="0"/>
              <w:snapToGrid w:val="0"/>
              <w:spacing w:line="240" w:lineRule="auto"/>
              <w:jc w:val="both"/>
              <w:rPr>
                <w:sz w:val="22"/>
                <w:szCs w:val="22"/>
                <w:u w:val="single"/>
              </w:rPr>
            </w:pPr>
            <w:r>
              <w:rPr>
                <w:rFonts w:hint="eastAsia" w:hAnsi="宋体"/>
                <w:sz w:val="22"/>
                <w:szCs w:val="22"/>
                <w:u w:val="single"/>
              </w:rPr>
              <w:t>授权代表人（签字）</w:t>
            </w:r>
          </w:p>
        </w:tc>
        <w:tc>
          <w:tcPr>
            <w:tcW w:w="390" w:type="dxa"/>
            <w:vAlign w:val="center"/>
          </w:tcPr>
          <w:p>
            <w:pPr>
              <w:adjustRightInd w:val="0"/>
              <w:snapToGrid w:val="0"/>
              <w:spacing w:line="480" w:lineRule="auto"/>
              <w:jc w:val="both"/>
              <w:rPr>
                <w:sz w:val="22"/>
                <w:szCs w:val="22"/>
              </w:rPr>
            </w:pPr>
            <w:r>
              <w:rPr>
                <w:sz w:val="22"/>
                <w:szCs w:val="22"/>
              </w:rPr>
              <w:t>:</w:t>
            </w:r>
          </w:p>
        </w:tc>
        <w:tc>
          <w:tcPr>
            <w:tcW w:w="3145" w:type="dxa"/>
            <w:vAlign w:val="center"/>
          </w:tcPr>
          <w:p>
            <w:pPr>
              <w:adjustRightInd w:val="0"/>
              <w:snapToGrid w:val="0"/>
              <w:spacing w:line="480" w:lineRule="auto"/>
              <w:jc w:val="both"/>
              <w:rPr>
                <w:sz w:val="22"/>
                <w:szCs w:val="22"/>
              </w:rPr>
            </w:pPr>
          </w:p>
        </w:tc>
      </w:tr>
      <w:tr>
        <w:tblPrEx>
          <w:tblLayout w:type="fixed"/>
          <w:tblCellMar>
            <w:top w:w="0" w:type="dxa"/>
            <w:left w:w="108" w:type="dxa"/>
            <w:bottom w:w="0" w:type="dxa"/>
            <w:right w:w="108" w:type="dxa"/>
          </w:tblCellMar>
        </w:tblPrEx>
        <w:trPr>
          <w:cantSplit/>
          <w:trHeight w:val="907" w:hRule="atLeast"/>
        </w:trPr>
        <w:tc>
          <w:tcPr>
            <w:tcW w:w="1465" w:type="dxa"/>
            <w:vAlign w:val="center"/>
          </w:tcPr>
          <w:p>
            <w:pPr>
              <w:adjustRightInd w:val="0"/>
              <w:snapToGrid w:val="0"/>
              <w:spacing w:line="480" w:lineRule="auto"/>
              <w:jc w:val="both"/>
              <w:rPr>
                <w:rFonts w:hint="eastAsia" w:hAnsi="宋体"/>
                <w:sz w:val="22"/>
                <w:szCs w:val="22"/>
                <w:u w:val="single"/>
              </w:rPr>
            </w:pPr>
          </w:p>
          <w:p>
            <w:pPr>
              <w:adjustRightInd w:val="0"/>
              <w:snapToGrid w:val="0"/>
              <w:spacing w:line="480" w:lineRule="auto"/>
              <w:jc w:val="both"/>
              <w:rPr>
                <w:rFonts w:hAnsi="宋体"/>
                <w:sz w:val="22"/>
                <w:szCs w:val="22"/>
                <w:u w:val="single"/>
              </w:rPr>
            </w:pPr>
            <w:r>
              <w:rPr>
                <w:rFonts w:hint="eastAsia" w:hAnsi="宋体"/>
                <w:sz w:val="22"/>
                <w:szCs w:val="22"/>
                <w:u w:val="single"/>
              </w:rPr>
              <w:t>地址</w:t>
            </w:r>
          </w:p>
        </w:tc>
        <w:tc>
          <w:tcPr>
            <w:tcW w:w="301" w:type="dxa"/>
            <w:vAlign w:val="center"/>
          </w:tcPr>
          <w:p>
            <w:pPr>
              <w:adjustRightInd w:val="0"/>
              <w:snapToGrid w:val="0"/>
              <w:spacing w:line="480" w:lineRule="auto"/>
              <w:jc w:val="both"/>
              <w:rPr>
                <w:sz w:val="22"/>
                <w:szCs w:val="22"/>
              </w:rPr>
            </w:pPr>
            <w:r>
              <w:rPr>
                <w:sz w:val="22"/>
                <w:szCs w:val="22"/>
              </w:rPr>
              <w:t>:</w:t>
            </w:r>
          </w:p>
        </w:tc>
        <w:tc>
          <w:tcPr>
            <w:tcW w:w="3184" w:type="dxa"/>
            <w:vAlign w:val="center"/>
          </w:tcPr>
          <w:p>
            <w:pPr>
              <w:adjustRightInd w:val="0"/>
              <w:snapToGrid w:val="0"/>
              <w:spacing w:line="480" w:lineRule="auto"/>
              <w:jc w:val="both"/>
              <w:rPr>
                <w:rFonts w:hint="eastAsia"/>
                <w:sz w:val="22"/>
                <w:szCs w:val="22"/>
              </w:rPr>
            </w:pPr>
          </w:p>
          <w:p>
            <w:pPr>
              <w:adjustRightInd w:val="0"/>
              <w:snapToGrid w:val="0"/>
              <w:spacing w:line="480" w:lineRule="auto"/>
              <w:jc w:val="both"/>
              <w:rPr>
                <w:sz w:val="22"/>
                <w:szCs w:val="22"/>
              </w:rPr>
            </w:pPr>
            <w:r>
              <w:rPr>
                <w:rFonts w:hint="eastAsia"/>
                <w:sz w:val="22"/>
                <w:szCs w:val="22"/>
                <w:u w:val="single"/>
              </w:rPr>
              <w:t>白云区嘉禾上胜东街</w:t>
            </w:r>
            <w:r>
              <w:rPr>
                <w:sz w:val="22"/>
                <w:szCs w:val="22"/>
                <w:u w:val="single"/>
              </w:rPr>
              <w:t>23</w:t>
            </w:r>
            <w:r>
              <w:rPr>
                <w:rFonts w:hint="eastAsia"/>
                <w:sz w:val="22"/>
                <w:szCs w:val="22"/>
                <w:u w:val="single"/>
              </w:rPr>
              <w:t>号</w:t>
            </w:r>
          </w:p>
        </w:tc>
        <w:tc>
          <w:tcPr>
            <w:tcW w:w="1560" w:type="dxa"/>
            <w:vAlign w:val="center"/>
          </w:tcPr>
          <w:p>
            <w:pPr>
              <w:adjustRightInd w:val="0"/>
              <w:snapToGrid w:val="0"/>
              <w:spacing w:line="480" w:lineRule="auto"/>
              <w:jc w:val="both"/>
              <w:rPr>
                <w:rFonts w:hint="eastAsia" w:hAnsi="宋体"/>
                <w:sz w:val="22"/>
                <w:szCs w:val="22"/>
                <w:u w:val="single"/>
              </w:rPr>
            </w:pPr>
          </w:p>
          <w:p>
            <w:pPr>
              <w:adjustRightInd w:val="0"/>
              <w:snapToGrid w:val="0"/>
              <w:spacing w:line="480" w:lineRule="auto"/>
              <w:jc w:val="both"/>
              <w:rPr>
                <w:rFonts w:hAnsi="宋体"/>
                <w:sz w:val="22"/>
                <w:szCs w:val="22"/>
                <w:u w:val="single"/>
              </w:rPr>
            </w:pPr>
            <w:r>
              <w:rPr>
                <w:rFonts w:hint="eastAsia" w:hAnsi="宋体"/>
                <w:sz w:val="22"/>
                <w:szCs w:val="22"/>
                <w:u w:val="single"/>
              </w:rPr>
              <w:t>地址</w:t>
            </w:r>
          </w:p>
        </w:tc>
        <w:tc>
          <w:tcPr>
            <w:tcW w:w="390" w:type="dxa"/>
            <w:vAlign w:val="center"/>
          </w:tcPr>
          <w:p>
            <w:pPr>
              <w:adjustRightInd w:val="0"/>
              <w:snapToGrid w:val="0"/>
              <w:spacing w:line="480" w:lineRule="auto"/>
              <w:jc w:val="both"/>
              <w:rPr>
                <w:sz w:val="22"/>
                <w:szCs w:val="22"/>
              </w:rPr>
            </w:pPr>
            <w:r>
              <w:rPr>
                <w:sz w:val="22"/>
                <w:szCs w:val="22"/>
              </w:rPr>
              <w:t>:</w:t>
            </w:r>
          </w:p>
        </w:tc>
        <w:tc>
          <w:tcPr>
            <w:tcW w:w="3145" w:type="dxa"/>
            <w:vAlign w:val="center"/>
          </w:tcPr>
          <w:p>
            <w:pPr>
              <w:adjustRightInd w:val="0"/>
              <w:snapToGrid w:val="0"/>
              <w:spacing w:line="480" w:lineRule="auto"/>
              <w:jc w:val="both"/>
              <w:rPr>
                <w:rFonts w:hint="eastAsia" w:eastAsia="宋体"/>
                <w:sz w:val="22"/>
                <w:szCs w:val="22"/>
                <w:lang w:eastAsia="zh-CN"/>
              </w:rPr>
            </w:pPr>
          </w:p>
        </w:tc>
      </w:tr>
      <w:tr>
        <w:tblPrEx>
          <w:tblLayout w:type="fixed"/>
          <w:tblCellMar>
            <w:top w:w="0" w:type="dxa"/>
            <w:left w:w="108" w:type="dxa"/>
            <w:bottom w:w="0" w:type="dxa"/>
            <w:right w:w="108" w:type="dxa"/>
          </w:tblCellMar>
        </w:tblPrEx>
        <w:trPr>
          <w:cantSplit/>
          <w:trHeight w:val="813" w:hRule="atLeast"/>
        </w:trPr>
        <w:tc>
          <w:tcPr>
            <w:tcW w:w="1465" w:type="dxa"/>
            <w:vAlign w:val="center"/>
          </w:tcPr>
          <w:p>
            <w:pPr>
              <w:adjustRightInd w:val="0"/>
              <w:snapToGrid w:val="0"/>
              <w:spacing w:line="480" w:lineRule="auto"/>
              <w:jc w:val="both"/>
              <w:rPr>
                <w:sz w:val="22"/>
                <w:szCs w:val="22"/>
                <w:u w:val="single"/>
              </w:rPr>
            </w:pPr>
            <w:r>
              <w:rPr>
                <w:rFonts w:hint="eastAsia" w:hAnsi="宋体"/>
                <w:sz w:val="22"/>
                <w:szCs w:val="22"/>
                <w:u w:val="single"/>
              </w:rPr>
              <w:t>电话</w:t>
            </w:r>
          </w:p>
        </w:tc>
        <w:tc>
          <w:tcPr>
            <w:tcW w:w="301" w:type="dxa"/>
            <w:vAlign w:val="center"/>
          </w:tcPr>
          <w:p>
            <w:pPr>
              <w:adjustRightInd w:val="0"/>
              <w:snapToGrid w:val="0"/>
              <w:spacing w:line="480" w:lineRule="auto"/>
              <w:jc w:val="both"/>
              <w:rPr>
                <w:sz w:val="22"/>
                <w:szCs w:val="22"/>
              </w:rPr>
            </w:pPr>
            <w:r>
              <w:rPr>
                <w:sz w:val="22"/>
                <w:szCs w:val="22"/>
              </w:rPr>
              <w:t>:</w:t>
            </w:r>
          </w:p>
        </w:tc>
        <w:tc>
          <w:tcPr>
            <w:tcW w:w="3184" w:type="dxa"/>
            <w:vAlign w:val="center"/>
          </w:tcPr>
          <w:p>
            <w:pPr>
              <w:adjustRightInd w:val="0"/>
              <w:snapToGrid w:val="0"/>
              <w:spacing w:line="480" w:lineRule="auto"/>
              <w:jc w:val="both"/>
              <w:rPr>
                <w:sz w:val="22"/>
                <w:szCs w:val="22"/>
              </w:rPr>
            </w:pPr>
            <w:r>
              <w:rPr>
                <w:sz w:val="22"/>
                <w:szCs w:val="22"/>
                <w:u w:val="single"/>
              </w:rPr>
              <w:t>020-86092537</w:t>
            </w:r>
          </w:p>
        </w:tc>
        <w:tc>
          <w:tcPr>
            <w:tcW w:w="1560" w:type="dxa"/>
            <w:vAlign w:val="center"/>
          </w:tcPr>
          <w:p>
            <w:pPr>
              <w:adjustRightInd w:val="0"/>
              <w:snapToGrid w:val="0"/>
              <w:spacing w:line="480" w:lineRule="auto"/>
              <w:jc w:val="both"/>
              <w:rPr>
                <w:sz w:val="22"/>
                <w:szCs w:val="22"/>
                <w:u w:val="single"/>
              </w:rPr>
            </w:pPr>
            <w:r>
              <w:rPr>
                <w:rFonts w:hint="eastAsia" w:hAnsi="宋体"/>
                <w:sz w:val="22"/>
                <w:szCs w:val="22"/>
                <w:u w:val="single"/>
              </w:rPr>
              <w:t>电话</w:t>
            </w:r>
          </w:p>
        </w:tc>
        <w:tc>
          <w:tcPr>
            <w:tcW w:w="390" w:type="dxa"/>
            <w:vAlign w:val="center"/>
          </w:tcPr>
          <w:p>
            <w:pPr>
              <w:adjustRightInd w:val="0"/>
              <w:snapToGrid w:val="0"/>
              <w:spacing w:line="480" w:lineRule="auto"/>
              <w:jc w:val="both"/>
              <w:rPr>
                <w:sz w:val="22"/>
                <w:szCs w:val="22"/>
              </w:rPr>
            </w:pPr>
            <w:r>
              <w:rPr>
                <w:sz w:val="22"/>
                <w:szCs w:val="22"/>
              </w:rPr>
              <w:t>:</w:t>
            </w:r>
          </w:p>
        </w:tc>
        <w:tc>
          <w:tcPr>
            <w:tcW w:w="3145" w:type="dxa"/>
            <w:vAlign w:val="top"/>
          </w:tcPr>
          <w:p>
            <w:pPr>
              <w:tabs>
                <w:tab w:val="left" w:pos="851"/>
              </w:tabs>
              <w:adjustRightInd w:val="0"/>
              <w:snapToGrid w:val="0"/>
              <w:spacing w:line="400" w:lineRule="exact"/>
              <w:jc w:val="left"/>
              <w:rPr>
                <w:sz w:val="22"/>
                <w:szCs w:val="22"/>
              </w:rPr>
            </w:pPr>
          </w:p>
        </w:tc>
      </w:tr>
      <w:tr>
        <w:tblPrEx>
          <w:tblLayout w:type="fixed"/>
          <w:tblCellMar>
            <w:top w:w="0" w:type="dxa"/>
            <w:left w:w="108" w:type="dxa"/>
            <w:bottom w:w="0" w:type="dxa"/>
            <w:right w:w="108" w:type="dxa"/>
          </w:tblCellMar>
        </w:tblPrEx>
        <w:trPr>
          <w:cantSplit/>
          <w:trHeight w:val="577" w:hRule="atLeast"/>
        </w:trPr>
        <w:tc>
          <w:tcPr>
            <w:tcW w:w="1465" w:type="dxa"/>
            <w:vAlign w:val="center"/>
          </w:tcPr>
          <w:p>
            <w:pPr>
              <w:adjustRightInd w:val="0"/>
              <w:snapToGrid w:val="0"/>
              <w:spacing w:line="480" w:lineRule="auto"/>
              <w:jc w:val="both"/>
              <w:rPr>
                <w:sz w:val="22"/>
                <w:szCs w:val="22"/>
                <w:u w:val="single"/>
              </w:rPr>
            </w:pPr>
            <w:r>
              <w:rPr>
                <w:rFonts w:hint="eastAsia" w:hAnsi="宋体"/>
                <w:sz w:val="22"/>
                <w:szCs w:val="22"/>
                <w:u w:val="single"/>
              </w:rPr>
              <w:t>传真</w:t>
            </w:r>
          </w:p>
        </w:tc>
        <w:tc>
          <w:tcPr>
            <w:tcW w:w="301" w:type="dxa"/>
            <w:vAlign w:val="center"/>
          </w:tcPr>
          <w:p>
            <w:pPr>
              <w:adjustRightInd w:val="0"/>
              <w:snapToGrid w:val="0"/>
              <w:spacing w:line="480" w:lineRule="auto"/>
              <w:jc w:val="both"/>
              <w:rPr>
                <w:sz w:val="22"/>
                <w:szCs w:val="22"/>
              </w:rPr>
            </w:pPr>
            <w:r>
              <w:rPr>
                <w:sz w:val="22"/>
                <w:szCs w:val="22"/>
              </w:rPr>
              <w:t>:</w:t>
            </w:r>
          </w:p>
        </w:tc>
        <w:tc>
          <w:tcPr>
            <w:tcW w:w="3184" w:type="dxa"/>
            <w:vAlign w:val="center"/>
          </w:tcPr>
          <w:p>
            <w:pPr>
              <w:adjustRightInd w:val="0"/>
              <w:snapToGrid w:val="0"/>
              <w:spacing w:line="480" w:lineRule="auto"/>
              <w:jc w:val="both"/>
              <w:rPr>
                <w:sz w:val="22"/>
                <w:szCs w:val="22"/>
              </w:rPr>
            </w:pPr>
          </w:p>
        </w:tc>
        <w:tc>
          <w:tcPr>
            <w:tcW w:w="1560" w:type="dxa"/>
            <w:vAlign w:val="center"/>
          </w:tcPr>
          <w:p>
            <w:pPr>
              <w:adjustRightInd w:val="0"/>
              <w:snapToGrid w:val="0"/>
              <w:spacing w:line="480" w:lineRule="auto"/>
              <w:jc w:val="both"/>
              <w:rPr>
                <w:sz w:val="22"/>
                <w:szCs w:val="22"/>
                <w:u w:val="single"/>
              </w:rPr>
            </w:pPr>
            <w:r>
              <w:rPr>
                <w:rFonts w:hint="eastAsia" w:hAnsi="宋体"/>
                <w:sz w:val="22"/>
                <w:szCs w:val="22"/>
                <w:u w:val="single"/>
              </w:rPr>
              <w:t>传真</w:t>
            </w:r>
          </w:p>
        </w:tc>
        <w:tc>
          <w:tcPr>
            <w:tcW w:w="390" w:type="dxa"/>
            <w:vAlign w:val="center"/>
          </w:tcPr>
          <w:p>
            <w:pPr>
              <w:adjustRightInd w:val="0"/>
              <w:snapToGrid w:val="0"/>
              <w:spacing w:line="480" w:lineRule="auto"/>
              <w:jc w:val="both"/>
              <w:rPr>
                <w:sz w:val="22"/>
                <w:szCs w:val="22"/>
              </w:rPr>
            </w:pPr>
            <w:r>
              <w:rPr>
                <w:sz w:val="22"/>
                <w:szCs w:val="22"/>
              </w:rPr>
              <w:t>:</w:t>
            </w:r>
          </w:p>
        </w:tc>
        <w:tc>
          <w:tcPr>
            <w:tcW w:w="3145" w:type="dxa"/>
            <w:vAlign w:val="top"/>
          </w:tcPr>
          <w:p>
            <w:pPr>
              <w:tabs>
                <w:tab w:val="left" w:pos="851"/>
              </w:tabs>
              <w:adjustRightInd w:val="0"/>
              <w:snapToGrid w:val="0"/>
              <w:spacing w:line="400" w:lineRule="exact"/>
              <w:jc w:val="left"/>
              <w:rPr>
                <w:sz w:val="22"/>
                <w:szCs w:val="22"/>
              </w:rPr>
            </w:pPr>
          </w:p>
        </w:tc>
      </w:tr>
      <w:tr>
        <w:tblPrEx>
          <w:tblLayout w:type="fixed"/>
          <w:tblCellMar>
            <w:top w:w="0" w:type="dxa"/>
            <w:left w:w="108" w:type="dxa"/>
            <w:bottom w:w="0" w:type="dxa"/>
            <w:right w:w="108" w:type="dxa"/>
          </w:tblCellMar>
        </w:tblPrEx>
        <w:trPr>
          <w:cantSplit/>
          <w:trHeight w:val="589" w:hRule="atLeast"/>
        </w:trPr>
        <w:tc>
          <w:tcPr>
            <w:tcW w:w="1465" w:type="dxa"/>
            <w:vAlign w:val="center"/>
          </w:tcPr>
          <w:p>
            <w:pPr>
              <w:adjustRightInd w:val="0"/>
              <w:snapToGrid w:val="0"/>
              <w:spacing w:line="480" w:lineRule="auto"/>
              <w:jc w:val="both"/>
              <w:rPr>
                <w:sz w:val="22"/>
                <w:szCs w:val="22"/>
                <w:u w:val="single"/>
              </w:rPr>
            </w:pPr>
            <w:r>
              <w:rPr>
                <w:rFonts w:hint="eastAsia" w:hAnsi="宋体"/>
                <w:sz w:val="22"/>
                <w:szCs w:val="22"/>
                <w:u w:val="single"/>
              </w:rPr>
              <w:t>开户银行</w:t>
            </w:r>
          </w:p>
        </w:tc>
        <w:tc>
          <w:tcPr>
            <w:tcW w:w="301" w:type="dxa"/>
            <w:vAlign w:val="center"/>
          </w:tcPr>
          <w:p>
            <w:pPr>
              <w:adjustRightInd w:val="0"/>
              <w:snapToGrid w:val="0"/>
              <w:spacing w:line="480" w:lineRule="auto"/>
              <w:jc w:val="both"/>
              <w:rPr>
                <w:sz w:val="22"/>
                <w:szCs w:val="22"/>
              </w:rPr>
            </w:pPr>
            <w:r>
              <w:rPr>
                <w:sz w:val="22"/>
                <w:szCs w:val="22"/>
              </w:rPr>
              <w:t>:</w:t>
            </w:r>
          </w:p>
        </w:tc>
        <w:tc>
          <w:tcPr>
            <w:tcW w:w="3184" w:type="dxa"/>
            <w:vAlign w:val="center"/>
          </w:tcPr>
          <w:p>
            <w:pPr>
              <w:adjustRightInd w:val="0"/>
              <w:snapToGrid w:val="0"/>
              <w:spacing w:line="480" w:lineRule="auto"/>
              <w:jc w:val="both"/>
              <w:rPr>
                <w:sz w:val="22"/>
                <w:szCs w:val="22"/>
              </w:rPr>
            </w:pPr>
            <w:r>
              <w:rPr>
                <w:rFonts w:hint="eastAsia"/>
                <w:sz w:val="22"/>
                <w:szCs w:val="22"/>
                <w:u w:val="single"/>
              </w:rPr>
              <w:t>中国工商银行广州市嘉禾支行</w:t>
            </w:r>
          </w:p>
        </w:tc>
        <w:tc>
          <w:tcPr>
            <w:tcW w:w="1560" w:type="dxa"/>
            <w:vAlign w:val="center"/>
          </w:tcPr>
          <w:p>
            <w:pPr>
              <w:adjustRightInd w:val="0"/>
              <w:snapToGrid w:val="0"/>
              <w:spacing w:line="480" w:lineRule="auto"/>
              <w:jc w:val="both"/>
              <w:rPr>
                <w:sz w:val="22"/>
                <w:szCs w:val="22"/>
                <w:u w:val="single"/>
              </w:rPr>
            </w:pPr>
            <w:r>
              <w:rPr>
                <w:rFonts w:hint="eastAsia" w:hAnsi="宋体"/>
                <w:sz w:val="22"/>
                <w:szCs w:val="22"/>
                <w:u w:val="single"/>
              </w:rPr>
              <w:t>开户银行</w:t>
            </w:r>
          </w:p>
        </w:tc>
        <w:tc>
          <w:tcPr>
            <w:tcW w:w="390" w:type="dxa"/>
            <w:shd w:val="clear" w:color="auto" w:fill="auto"/>
            <w:vAlign w:val="center"/>
          </w:tcPr>
          <w:p>
            <w:pPr>
              <w:adjustRightInd w:val="0"/>
              <w:snapToGrid w:val="0"/>
              <w:spacing w:line="480" w:lineRule="auto"/>
              <w:jc w:val="both"/>
              <w:rPr>
                <w:sz w:val="22"/>
                <w:szCs w:val="22"/>
              </w:rPr>
            </w:pPr>
            <w:r>
              <w:rPr>
                <w:sz w:val="22"/>
                <w:szCs w:val="22"/>
              </w:rPr>
              <w:t>:</w:t>
            </w:r>
          </w:p>
        </w:tc>
        <w:tc>
          <w:tcPr>
            <w:tcW w:w="3145" w:type="dxa"/>
            <w:shd w:val="clear" w:color="auto" w:fill="auto"/>
            <w:vAlign w:val="center"/>
          </w:tcPr>
          <w:p>
            <w:pPr>
              <w:adjustRightInd w:val="0"/>
              <w:snapToGrid w:val="0"/>
              <w:spacing w:line="240" w:lineRule="auto"/>
              <w:jc w:val="both"/>
              <w:rPr>
                <w:rFonts w:hint="eastAsia" w:eastAsia="宋体"/>
                <w:sz w:val="22"/>
                <w:szCs w:val="22"/>
                <w:u w:val="single"/>
                <w:lang w:eastAsia="zh-CN"/>
              </w:rPr>
            </w:pPr>
          </w:p>
        </w:tc>
      </w:tr>
      <w:tr>
        <w:tblPrEx>
          <w:tblLayout w:type="fixed"/>
          <w:tblCellMar>
            <w:top w:w="0" w:type="dxa"/>
            <w:left w:w="108" w:type="dxa"/>
            <w:bottom w:w="0" w:type="dxa"/>
            <w:right w:w="108" w:type="dxa"/>
          </w:tblCellMar>
        </w:tblPrEx>
        <w:trPr>
          <w:cantSplit/>
          <w:trHeight w:val="589" w:hRule="atLeast"/>
        </w:trPr>
        <w:tc>
          <w:tcPr>
            <w:tcW w:w="1465" w:type="dxa"/>
            <w:vAlign w:val="center"/>
          </w:tcPr>
          <w:p>
            <w:pPr>
              <w:adjustRightInd w:val="0"/>
              <w:snapToGrid w:val="0"/>
              <w:spacing w:line="480" w:lineRule="auto"/>
              <w:jc w:val="both"/>
              <w:rPr>
                <w:sz w:val="22"/>
                <w:szCs w:val="22"/>
                <w:u w:val="single"/>
              </w:rPr>
            </w:pPr>
            <w:r>
              <w:rPr>
                <w:rFonts w:hint="eastAsia" w:hAnsi="宋体"/>
                <w:sz w:val="22"/>
                <w:szCs w:val="22"/>
                <w:u w:val="single"/>
              </w:rPr>
              <w:t>账号</w:t>
            </w:r>
          </w:p>
        </w:tc>
        <w:tc>
          <w:tcPr>
            <w:tcW w:w="301" w:type="dxa"/>
            <w:vAlign w:val="center"/>
          </w:tcPr>
          <w:p>
            <w:pPr>
              <w:adjustRightInd w:val="0"/>
              <w:snapToGrid w:val="0"/>
              <w:spacing w:line="480" w:lineRule="auto"/>
              <w:jc w:val="both"/>
              <w:rPr>
                <w:sz w:val="22"/>
                <w:szCs w:val="22"/>
              </w:rPr>
            </w:pPr>
            <w:r>
              <w:rPr>
                <w:sz w:val="22"/>
                <w:szCs w:val="22"/>
              </w:rPr>
              <w:t>:</w:t>
            </w:r>
          </w:p>
        </w:tc>
        <w:tc>
          <w:tcPr>
            <w:tcW w:w="3184" w:type="dxa"/>
            <w:vAlign w:val="center"/>
          </w:tcPr>
          <w:p>
            <w:pPr>
              <w:adjustRightInd w:val="0"/>
              <w:snapToGrid w:val="0"/>
              <w:spacing w:line="480" w:lineRule="auto"/>
              <w:jc w:val="both"/>
              <w:rPr>
                <w:sz w:val="22"/>
                <w:szCs w:val="22"/>
              </w:rPr>
            </w:pPr>
            <w:r>
              <w:rPr>
                <w:sz w:val="22"/>
                <w:szCs w:val="22"/>
                <w:u w:val="single"/>
              </w:rPr>
              <w:t>3602116119100012207</w:t>
            </w:r>
          </w:p>
        </w:tc>
        <w:tc>
          <w:tcPr>
            <w:tcW w:w="1560" w:type="dxa"/>
            <w:vAlign w:val="center"/>
          </w:tcPr>
          <w:p>
            <w:pPr>
              <w:adjustRightInd w:val="0"/>
              <w:snapToGrid w:val="0"/>
              <w:spacing w:line="480" w:lineRule="auto"/>
              <w:jc w:val="both"/>
              <w:rPr>
                <w:sz w:val="22"/>
                <w:szCs w:val="22"/>
                <w:u w:val="single"/>
              </w:rPr>
            </w:pPr>
            <w:r>
              <w:rPr>
                <w:rFonts w:hint="eastAsia" w:hAnsi="宋体"/>
                <w:sz w:val="22"/>
                <w:szCs w:val="22"/>
                <w:u w:val="single"/>
              </w:rPr>
              <w:t>账号</w:t>
            </w:r>
          </w:p>
        </w:tc>
        <w:tc>
          <w:tcPr>
            <w:tcW w:w="390" w:type="dxa"/>
            <w:vAlign w:val="center"/>
          </w:tcPr>
          <w:p>
            <w:pPr>
              <w:adjustRightInd w:val="0"/>
              <w:snapToGrid w:val="0"/>
              <w:spacing w:line="480" w:lineRule="auto"/>
              <w:jc w:val="both"/>
              <w:rPr>
                <w:sz w:val="22"/>
                <w:szCs w:val="22"/>
              </w:rPr>
            </w:pPr>
            <w:r>
              <w:rPr>
                <w:sz w:val="22"/>
                <w:szCs w:val="22"/>
              </w:rPr>
              <w:t>:</w:t>
            </w:r>
          </w:p>
        </w:tc>
        <w:tc>
          <w:tcPr>
            <w:tcW w:w="3145" w:type="dxa"/>
            <w:vAlign w:val="center"/>
          </w:tcPr>
          <w:p>
            <w:pPr>
              <w:adjustRightInd w:val="0"/>
              <w:snapToGrid w:val="0"/>
              <w:spacing w:line="480" w:lineRule="auto"/>
              <w:jc w:val="both"/>
              <w:rPr>
                <w:rFonts w:hint="eastAsia" w:eastAsia="宋体"/>
                <w:sz w:val="22"/>
                <w:szCs w:val="22"/>
                <w:u w:val="single"/>
                <w:lang w:val="en-US" w:eastAsia="zh-CN"/>
              </w:rPr>
            </w:pPr>
          </w:p>
        </w:tc>
      </w:tr>
      <w:tr>
        <w:tblPrEx>
          <w:tblLayout w:type="fixed"/>
          <w:tblCellMar>
            <w:top w:w="0" w:type="dxa"/>
            <w:left w:w="108" w:type="dxa"/>
            <w:bottom w:w="0" w:type="dxa"/>
            <w:right w:w="108" w:type="dxa"/>
          </w:tblCellMar>
        </w:tblPrEx>
        <w:trPr>
          <w:cantSplit/>
          <w:trHeight w:val="577" w:hRule="atLeast"/>
        </w:trPr>
        <w:tc>
          <w:tcPr>
            <w:tcW w:w="1465" w:type="dxa"/>
            <w:vAlign w:val="center"/>
          </w:tcPr>
          <w:p>
            <w:pPr>
              <w:adjustRightInd w:val="0"/>
              <w:snapToGrid w:val="0"/>
              <w:spacing w:line="480" w:lineRule="auto"/>
              <w:jc w:val="both"/>
              <w:rPr>
                <w:sz w:val="22"/>
                <w:szCs w:val="22"/>
                <w:u w:val="single"/>
              </w:rPr>
            </w:pPr>
            <w:r>
              <w:rPr>
                <w:rFonts w:hint="eastAsia" w:hAnsi="宋体"/>
                <w:sz w:val="22"/>
                <w:szCs w:val="22"/>
                <w:u w:val="single"/>
              </w:rPr>
              <w:t>邮政编码</w:t>
            </w:r>
          </w:p>
        </w:tc>
        <w:tc>
          <w:tcPr>
            <w:tcW w:w="301" w:type="dxa"/>
            <w:vAlign w:val="center"/>
          </w:tcPr>
          <w:p>
            <w:pPr>
              <w:adjustRightInd w:val="0"/>
              <w:snapToGrid w:val="0"/>
              <w:spacing w:line="480" w:lineRule="auto"/>
              <w:jc w:val="both"/>
              <w:rPr>
                <w:sz w:val="22"/>
                <w:szCs w:val="22"/>
              </w:rPr>
            </w:pPr>
            <w:r>
              <w:rPr>
                <w:sz w:val="22"/>
                <w:szCs w:val="22"/>
              </w:rPr>
              <w:t>:</w:t>
            </w:r>
          </w:p>
        </w:tc>
        <w:tc>
          <w:tcPr>
            <w:tcW w:w="3184" w:type="dxa"/>
            <w:vAlign w:val="center"/>
          </w:tcPr>
          <w:p>
            <w:pPr>
              <w:adjustRightInd w:val="0"/>
              <w:snapToGrid w:val="0"/>
              <w:spacing w:line="480" w:lineRule="auto"/>
              <w:jc w:val="both"/>
              <w:rPr>
                <w:rFonts w:hint="eastAsia" w:eastAsia="宋体"/>
                <w:sz w:val="22"/>
                <w:szCs w:val="22"/>
                <w:lang w:val="en-US" w:eastAsia="zh-CN"/>
              </w:rPr>
            </w:pPr>
            <w:r>
              <w:rPr>
                <w:rFonts w:hint="eastAsia"/>
                <w:sz w:val="22"/>
                <w:szCs w:val="22"/>
                <w:u w:val="single"/>
                <w:lang w:val="en-US" w:eastAsia="zh-CN"/>
              </w:rPr>
              <w:t>510440</w:t>
            </w:r>
          </w:p>
        </w:tc>
        <w:tc>
          <w:tcPr>
            <w:tcW w:w="1560" w:type="dxa"/>
            <w:vAlign w:val="center"/>
          </w:tcPr>
          <w:p>
            <w:pPr>
              <w:adjustRightInd w:val="0"/>
              <w:snapToGrid w:val="0"/>
              <w:spacing w:line="480" w:lineRule="auto"/>
              <w:jc w:val="both"/>
              <w:rPr>
                <w:sz w:val="22"/>
                <w:szCs w:val="22"/>
                <w:u w:val="single"/>
              </w:rPr>
            </w:pPr>
            <w:r>
              <w:rPr>
                <w:rFonts w:hint="eastAsia" w:hAnsi="宋体"/>
                <w:sz w:val="22"/>
                <w:szCs w:val="22"/>
                <w:u w:val="single"/>
              </w:rPr>
              <w:t>邮政编码</w:t>
            </w:r>
          </w:p>
        </w:tc>
        <w:tc>
          <w:tcPr>
            <w:tcW w:w="390" w:type="dxa"/>
            <w:vAlign w:val="center"/>
          </w:tcPr>
          <w:p>
            <w:pPr>
              <w:adjustRightInd w:val="0"/>
              <w:snapToGrid w:val="0"/>
              <w:spacing w:line="480" w:lineRule="auto"/>
              <w:jc w:val="both"/>
              <w:rPr>
                <w:sz w:val="22"/>
                <w:szCs w:val="22"/>
              </w:rPr>
            </w:pPr>
            <w:r>
              <w:rPr>
                <w:sz w:val="22"/>
                <w:szCs w:val="22"/>
              </w:rPr>
              <w:t>:</w:t>
            </w:r>
          </w:p>
        </w:tc>
        <w:tc>
          <w:tcPr>
            <w:tcW w:w="3145" w:type="dxa"/>
            <w:vAlign w:val="center"/>
          </w:tcPr>
          <w:p>
            <w:pPr>
              <w:adjustRightInd w:val="0"/>
              <w:snapToGrid w:val="0"/>
              <w:spacing w:line="480" w:lineRule="auto"/>
              <w:jc w:val="both"/>
              <w:rPr>
                <w:rFonts w:hint="eastAsia" w:eastAsia="宋体"/>
                <w:sz w:val="22"/>
                <w:szCs w:val="22"/>
                <w:u w:val="single"/>
                <w:lang w:val="en-US" w:eastAsia="zh-CN"/>
              </w:rPr>
            </w:pPr>
          </w:p>
        </w:tc>
      </w:tr>
    </w:tbl>
    <w:p>
      <w:pPr>
        <w:adjustRightInd w:val="0"/>
        <w:snapToGrid w:val="0"/>
        <w:spacing w:beforeLines="100" w:afterLines="100" w:line="400" w:lineRule="exact"/>
        <w:ind w:firstLine="883" w:firstLineChars="400"/>
        <w:jc w:val="both"/>
        <w:rPr>
          <w:sz w:val="22"/>
          <w:szCs w:val="22"/>
        </w:rPr>
      </w:pPr>
      <w:r>
        <w:rPr>
          <w:rFonts w:hint="eastAsia" w:hAnsi="宋体"/>
          <w:b/>
          <w:bCs/>
          <w:sz w:val="22"/>
          <w:szCs w:val="22"/>
        </w:rPr>
        <w:t>签署页</w:t>
      </w:r>
    </w:p>
    <w:p>
      <w:pPr>
        <w:adjustRightInd w:val="0"/>
        <w:snapToGrid w:val="0"/>
        <w:spacing w:beforeLines="100" w:afterLines="100" w:line="400" w:lineRule="exact"/>
        <w:jc w:val="left"/>
        <w:rPr>
          <w:color w:val="FF0000"/>
          <w:sz w:val="32"/>
          <w:szCs w:val="32"/>
          <w:u w:val="single"/>
        </w:rPr>
      </w:pPr>
      <w:r>
        <w:rPr>
          <w:rFonts w:hint="eastAsia"/>
          <w:color w:val="FF0000"/>
          <w:sz w:val="32"/>
          <w:szCs w:val="32"/>
          <w:u w:val="single"/>
        </w:rPr>
        <w:t>纳税人识别号：124401004553521179</w:t>
      </w:r>
    </w:p>
    <w:p>
      <w:pPr>
        <w:jc w:val="left"/>
      </w:pPr>
    </w:p>
    <w:p>
      <w:pPr>
        <w:jc w:val="left"/>
      </w:pPr>
    </w:p>
    <w:p>
      <w:pPr>
        <w:jc w:val="left"/>
      </w:pPr>
    </w:p>
    <w:p>
      <w:pPr>
        <w:jc w:val="left"/>
      </w:pPr>
    </w:p>
    <w:p>
      <w:pPr>
        <w:jc w:val="left"/>
      </w:pPr>
    </w:p>
    <w:p>
      <w:pPr>
        <w:jc w:val="left"/>
      </w:pPr>
    </w:p>
    <w:p>
      <w:pPr>
        <w:jc w:val="left"/>
      </w:pPr>
    </w:p>
    <w:p>
      <w:pPr>
        <w:jc w:val="left"/>
      </w:pPr>
    </w:p>
    <w:p>
      <w:pPr>
        <w:jc w:val="left"/>
      </w:pPr>
    </w:p>
    <w:p>
      <w:pPr>
        <w:ind w:firstLine="6900" w:firstLineChars="2300"/>
        <w:jc w:val="left"/>
        <w:rPr>
          <w:rFonts w:hint="eastAsia" w:eastAsia="宋体"/>
          <w:sz w:val="30"/>
          <w:szCs w:val="30"/>
          <w:lang w:eastAsia="zh-CN"/>
        </w:rPr>
      </w:pPr>
      <w:r>
        <w:rPr>
          <w:rFonts w:hint="eastAsia"/>
          <w:sz w:val="30"/>
          <w:szCs w:val="30"/>
          <w:lang w:eastAsia="zh-CN"/>
        </w:rPr>
        <w:t>后附开票样本：</w:t>
      </w:r>
    </w:p>
    <w:p>
      <w:pPr>
        <w:jc w:val="left"/>
      </w:pPr>
    </w:p>
    <w:p>
      <w:pPr>
        <w:jc w:val="left"/>
        <w:rPr>
          <w:rFonts w:hint="eastAsia" w:eastAsia="宋体"/>
          <w:sz w:val="30"/>
          <w:szCs w:val="30"/>
          <w:lang w:eastAsia="zh-CN"/>
        </w:rPr>
      </w:pPr>
      <w:r>
        <w:rPr>
          <w:rFonts w:hint="eastAsia"/>
          <w:sz w:val="30"/>
          <w:szCs w:val="30"/>
          <w:lang w:eastAsia="zh-CN"/>
        </w:rPr>
        <w:t>开票样：</w:t>
      </w:r>
    </w:p>
    <w:p>
      <w:pPr>
        <w:jc w:val="left"/>
        <w:rPr>
          <w:rFonts w:hint="eastAsia" w:eastAsia="宋体"/>
          <w:lang w:eastAsia="zh-CN"/>
        </w:rPr>
      </w:pPr>
      <w:r>
        <w:rPr>
          <w:rFonts w:hint="eastAsia" w:eastAsia="宋体"/>
          <w:lang w:eastAsia="zh-CN"/>
        </w:rPr>
        <w:pict>
          <v:shape id="_x0000_i1025" o:spt="75" alt="开票明细，2018.01.08" type="#_x0000_t75" style="height:438.65pt;width:671.3pt;rotation:-5898240f;" filled="f" o:preferrelative="t" stroked="f" coordsize="21600,21600">
            <v:path/>
            <v:fill on="f" focussize="0,0"/>
            <v:stroke on="f"/>
            <v:imagedata r:id="rId4" o:title="开票明细，2018.01.08"/>
            <o:lock v:ext="edit" aspectratio="t"/>
            <w10:wrap type="none"/>
            <w10:anchorlock/>
          </v:shape>
        </w:pict>
      </w:r>
    </w:p>
    <w:p>
      <w:pPr>
        <w:jc w:val="left"/>
        <w:rPr>
          <w:rFonts w:hint="eastAsia" w:eastAsia="宋体"/>
          <w:lang w:eastAsia="zh-CN"/>
        </w:rPr>
      </w:pPr>
    </w:p>
    <w:p>
      <w:pPr>
        <w:jc w:val="left"/>
        <w:rPr>
          <w:rFonts w:hint="eastAsia" w:eastAsia="宋体"/>
          <w:lang w:eastAsia="zh-CN"/>
        </w:rPr>
      </w:pPr>
    </w:p>
    <w:p>
      <w:pPr>
        <w:jc w:val="left"/>
        <w:rPr>
          <w:rFonts w:hint="eastAsia" w:eastAsia="宋体"/>
          <w:lang w:eastAsia="zh-CN"/>
        </w:rPr>
      </w:pPr>
    </w:p>
    <w:p>
      <w:pPr>
        <w:jc w:val="left"/>
        <w:rPr>
          <w:sz w:val="28"/>
          <w:szCs w:val="28"/>
        </w:rPr>
      </w:pPr>
      <w:r>
        <w:rPr>
          <w:rFonts w:hint="eastAsia"/>
          <w:sz w:val="28"/>
          <w:szCs w:val="28"/>
        </w:rPr>
        <w:t>附件2：</w:t>
      </w:r>
    </w:p>
    <w:p>
      <w:pPr>
        <w:jc w:val="center"/>
        <w:rPr>
          <w:sz w:val="28"/>
          <w:szCs w:val="28"/>
        </w:rPr>
      </w:pPr>
      <w:r>
        <w:rPr>
          <w:rFonts w:hint="eastAsia"/>
          <w:sz w:val="28"/>
          <w:szCs w:val="28"/>
        </w:rPr>
        <w:t>关于足额按时支付工人工资的承诺书</w:t>
      </w:r>
    </w:p>
    <w:p/>
    <w:p>
      <w:r>
        <w:rPr>
          <w:rFonts w:hint="eastAsia"/>
        </w:rPr>
        <w:t>致</w:t>
      </w:r>
    </w:p>
    <w:p/>
    <w:p>
      <w:r>
        <w:rPr>
          <w:rFonts w:hint="eastAsia"/>
        </w:rPr>
        <w:t>广州市交通运输职业学校：</w:t>
      </w:r>
    </w:p>
    <w:p/>
    <w:p>
      <w:r>
        <w:rPr>
          <w:rFonts w:hint="eastAsia"/>
        </w:rPr>
        <w:t>在</w:t>
      </w:r>
      <w:r>
        <w:rPr>
          <w:u w:val="single"/>
        </w:rPr>
        <w:t xml:space="preserve">                             </w:t>
      </w:r>
      <w:r>
        <w:rPr>
          <w:rFonts w:hint="eastAsia"/>
        </w:rPr>
        <w:t>工程的施工过程中，若我方，需要雇佣和使用工人（包括民工）时，为保护工人的合法权益，不拖欠工人工资，将保证做到：</w:t>
      </w:r>
    </w:p>
    <w:p>
      <w:r>
        <w:t>1</w:t>
      </w:r>
      <w:r>
        <w:rPr>
          <w:rFonts w:hint="eastAsia"/>
        </w:rPr>
        <w:t>、我公司一定认真执行广州市建筑宣传教育和建筑业劳保金管理中心相关文件精神，并如期、足额支付工人工资，不发生拖欠现象，并且保证按照《劳动法》规定雇佣和使用工人，工资将直接发给工人本人。</w:t>
      </w:r>
    </w:p>
    <w:p>
      <w:r>
        <w:t>2</w:t>
      </w:r>
      <w:r>
        <w:rPr>
          <w:rFonts w:hint="eastAsia"/>
        </w:rPr>
        <w:t>、我公司在工程正式开工后，会及时与所属各施工班组签订用工协议，会根据用工协议制订支付工人工资计划。</w:t>
      </w:r>
    </w:p>
    <w:p>
      <w:r>
        <w:t>3</w:t>
      </w:r>
      <w:r>
        <w:rPr>
          <w:rFonts w:hint="eastAsia"/>
        </w:rPr>
        <w:t>、分包单位雇用和使用工人的，我方将要求分包单位按照规定签订劳动合同，并负责督促其按照合同规定及时结付工人工资。如因我方未按合同约定与分包单位结清工程款，致使后者拖欠工人工资的，将由我方先行垫付欠款，业主可从支付给我方的工程款中扣回双倍的罚款。我方对分包单位清偿拖欠工人工资负总责。</w:t>
      </w:r>
    </w:p>
    <w:p>
      <w:r>
        <w:t>4</w:t>
      </w:r>
      <w:r>
        <w:rPr>
          <w:rFonts w:hint="eastAsia"/>
        </w:rPr>
        <w:t>、如果发生违反规定拖欠或克扣工人工资行为，造成工人上访，及其他突发事件或公共事件，我方自愿承担因此而引起的法律、经济等一切责任。业主可从未支付的工程款扣出金额用于优先支付工人工资。</w:t>
      </w:r>
    </w:p>
    <w:p>
      <w:pPr>
        <w:rPr>
          <w:rFonts w:eastAsia="微软雅黑"/>
        </w:rPr>
      </w:pPr>
      <w:r>
        <w:rPr>
          <w:rFonts w:hint="eastAsia"/>
          <w:b w:val="0"/>
          <w:color w:val="auto"/>
        </w:rPr>
        <w:t>5、若违反此承诺，公司将列入黑名单，不得参与学校的任何项目，并上报至广州市教育局及省、市人力资源社会保障行政部门，按照有关规定，通过部门门户网站、“信用中国”网站、国家企业信用信息公示系统等予以公示。</w:t>
      </w:r>
      <w:r>
        <w:rPr>
          <w:rFonts w:hint="eastAsia"/>
          <w:b/>
          <w:color w:val="FF0000"/>
        </w:rPr>
        <w:br w:type="textWrapping"/>
      </w:r>
      <w:r>
        <w:rPr>
          <w:rFonts w:hint="eastAsia" w:ascii="微软雅黑" w:hAnsi="微软雅黑" w:eastAsia="微软雅黑"/>
          <w:color w:val="333333"/>
          <w:szCs w:val="21"/>
        </w:rPr>
        <w:br w:type="textWrapping"/>
      </w:r>
      <w:r>
        <w:rPr>
          <w:rFonts w:hint="eastAsia" w:ascii="微软雅黑" w:hAnsi="微软雅黑" w:eastAsia="微软雅黑"/>
          <w:color w:val="333333"/>
          <w:szCs w:val="21"/>
        </w:rPr>
        <w:br w:type="textWrapping"/>
      </w:r>
    </w:p>
    <w:p/>
    <w:p/>
    <w:p/>
    <w:p/>
    <w:p>
      <w:pPr>
        <w:jc w:val="right"/>
      </w:pPr>
      <w:r>
        <w:rPr>
          <w:rFonts w:hint="eastAsia"/>
        </w:rPr>
        <w:t>法人代表（签字）：</w:t>
      </w:r>
    </w:p>
    <w:p>
      <w:pPr>
        <w:jc w:val="right"/>
      </w:pPr>
    </w:p>
    <w:p>
      <w:pPr>
        <w:jc w:val="right"/>
      </w:pPr>
      <w:r>
        <w:rPr>
          <w:rFonts w:hint="eastAsia"/>
        </w:rPr>
        <w:t>项目经理（签字）：</w:t>
      </w:r>
    </w:p>
    <w:p/>
    <w:p>
      <w:pPr>
        <w:jc w:val="right"/>
      </w:pPr>
      <w:r>
        <w:rPr>
          <w:rFonts w:hint="eastAsia"/>
        </w:rPr>
        <w:t>公司名称（盖章）：</w:t>
      </w:r>
    </w:p>
    <w:p>
      <w:pPr>
        <w:jc w:val="right"/>
      </w:pPr>
    </w:p>
    <w:p/>
    <w:p>
      <w:pPr>
        <w:ind w:firstLine="6405" w:firstLineChars="3050"/>
      </w:pPr>
      <w:r>
        <w:rPr>
          <w:rFonts w:hint="eastAsia"/>
        </w:rPr>
        <w:t>年</w:t>
      </w:r>
      <w:r>
        <w:t xml:space="preserve">    </w:t>
      </w:r>
      <w:r>
        <w:rPr>
          <w:rFonts w:hint="eastAsia"/>
        </w:rPr>
        <w:t>月</w:t>
      </w:r>
      <w:r>
        <w:t xml:space="preserve">    </w:t>
      </w:r>
      <w:r>
        <w:rPr>
          <w:rFonts w:hint="eastAsia"/>
        </w:rPr>
        <w:t>日</w:t>
      </w:r>
    </w:p>
    <w:p>
      <w:pPr>
        <w:jc w:val="left"/>
        <w:rPr>
          <w:rFonts w:hint="eastAsia"/>
        </w:rPr>
      </w:pPr>
    </w:p>
    <w:p>
      <w:pPr>
        <w:jc w:val="left"/>
        <w:rPr>
          <w:rFonts w:hint="eastAsia"/>
        </w:rPr>
      </w:pPr>
    </w:p>
    <w:p>
      <w:pPr>
        <w:pStyle w:val="2"/>
        <w:spacing w:before="0" w:after="312" w:afterLines="100" w:line="240" w:lineRule="auto"/>
        <w:jc w:val="center"/>
        <w:rPr>
          <w:rFonts w:eastAsia="经典粗宋简"/>
        </w:rPr>
      </w:pPr>
      <w:r>
        <w:rPr>
          <w:rFonts w:eastAsia="经典粗宋简"/>
        </w:rPr>
        <w:t>安全生产</w:t>
      </w:r>
      <w:r>
        <w:rPr>
          <w:rFonts w:hint="eastAsia" w:eastAsia="经典粗宋简"/>
        </w:rPr>
        <w:t>承诺书</w:t>
      </w:r>
    </w:p>
    <w:p>
      <w:pPr>
        <w:spacing w:line="240" w:lineRule="auto"/>
        <w:ind w:firstLine="420" w:firstLineChars="200"/>
        <w:rPr>
          <w:rFonts w:hint="eastAsia"/>
          <w:color w:val="000000" w:themeColor="text1"/>
          <w:sz w:val="21"/>
          <w:szCs w:val="24"/>
        </w:rPr>
      </w:pPr>
      <w:r>
        <w:rPr>
          <w:rFonts w:hint="eastAsia"/>
          <w:color w:val="000000" w:themeColor="text1"/>
          <w:sz w:val="21"/>
          <w:szCs w:val="24"/>
        </w:rPr>
        <w:t>为加强学校的安全生产管理，</w:t>
      </w:r>
      <w:r>
        <w:rPr>
          <w:rFonts w:hint="eastAsia" w:ascii="Times New Roman" w:hAnsi="Times New Roman"/>
          <w:color w:val="000000" w:themeColor="text1"/>
          <w:sz w:val="21"/>
          <w:szCs w:val="24"/>
        </w:rPr>
        <w:t>防止和减少生产安全事故，</w:t>
      </w:r>
      <w:r>
        <w:rPr>
          <w:rFonts w:hint="eastAsia"/>
          <w:color w:val="000000" w:themeColor="text1"/>
          <w:sz w:val="21"/>
          <w:szCs w:val="24"/>
        </w:rPr>
        <w:t>保障师生的生命财产安全，维护教学秩序，保证教学的正常开展，司法教学点机械加工实训场改造工程项目(建设项目代表：      注册项目经理：       )签订本承诺书。</w:t>
      </w:r>
    </w:p>
    <w:p>
      <w:pPr>
        <w:spacing w:before="0" w:beforeLines="-2147483648" w:after="0" w:afterLines="-2147483648" w:line="240" w:lineRule="auto"/>
        <w:ind w:firstLine="0" w:firstLineChars="0"/>
        <w:rPr>
          <w:rFonts w:hint="eastAsia" w:ascii="Times New Roman" w:eastAsia="宋体"/>
          <w:b w:val="0"/>
          <w:color w:val="000000" w:themeColor="text1"/>
          <w:sz w:val="21"/>
          <w:szCs w:val="24"/>
        </w:rPr>
      </w:pPr>
      <w:r>
        <w:rPr>
          <w:rFonts w:hint="eastAsia" w:ascii="Times New Roman" w:eastAsia="宋体"/>
          <w:b w:val="0"/>
          <w:color w:val="000000" w:themeColor="text1"/>
          <w:sz w:val="21"/>
          <w:szCs w:val="24"/>
        </w:rPr>
        <w:t>一、责任目标</w:t>
      </w:r>
    </w:p>
    <w:p>
      <w:pPr>
        <w:spacing w:line="240" w:lineRule="auto"/>
        <w:ind w:firstLine="0" w:firstLineChars="0"/>
        <w:rPr>
          <w:rFonts w:hint="eastAsia"/>
          <w:color w:val="000000" w:themeColor="text1"/>
          <w:sz w:val="21"/>
          <w:szCs w:val="24"/>
        </w:rPr>
      </w:pPr>
      <w:r>
        <w:rPr>
          <w:rFonts w:hint="eastAsia"/>
          <w:color w:val="000000" w:themeColor="text1"/>
          <w:sz w:val="21"/>
          <w:szCs w:val="24"/>
        </w:rPr>
        <w:t>1.  承</w:t>
      </w:r>
      <w:r>
        <w:rPr>
          <w:rFonts w:hint="eastAsia" w:ascii="Times New Roman" w:hAnsi="Times New Roman"/>
          <w:color w:val="000000" w:themeColor="text1"/>
          <w:sz w:val="21"/>
          <w:szCs w:val="24"/>
        </w:rPr>
        <w:t>建本项目的施工单位必须遵守安全生产法律、法规的规定，保证建设工程安全生产，依法承担建设工程安全生产责任。</w:t>
      </w:r>
    </w:p>
    <w:p>
      <w:pPr>
        <w:spacing w:line="240" w:lineRule="auto"/>
        <w:ind w:firstLine="0" w:firstLineChars="0"/>
        <w:rPr>
          <w:rFonts w:hint="eastAsia"/>
          <w:color w:val="000000" w:themeColor="text1"/>
          <w:sz w:val="21"/>
          <w:szCs w:val="24"/>
        </w:rPr>
      </w:pPr>
      <w:r>
        <w:rPr>
          <w:rFonts w:hint="eastAsia"/>
          <w:color w:val="000000" w:themeColor="text1"/>
          <w:sz w:val="21"/>
          <w:szCs w:val="24"/>
        </w:rPr>
        <w:t>2.  健全本项目安全管理机构，配备足够的安全管理人员，解决生产安全所需的经费和设施。</w:t>
      </w:r>
    </w:p>
    <w:p>
      <w:pPr>
        <w:spacing w:line="240" w:lineRule="auto"/>
        <w:ind w:firstLine="0" w:firstLineChars="0"/>
        <w:rPr>
          <w:rFonts w:hint="eastAsia"/>
          <w:color w:val="000000" w:themeColor="text1"/>
          <w:sz w:val="21"/>
          <w:szCs w:val="24"/>
        </w:rPr>
      </w:pPr>
      <w:r>
        <w:rPr>
          <w:rFonts w:hint="eastAsia"/>
          <w:color w:val="000000" w:themeColor="text1"/>
          <w:sz w:val="21"/>
          <w:szCs w:val="24"/>
        </w:rPr>
        <w:t>3.  建立健全本项目安全管理工作机制，定期分析本项目的安全生产形势，每月向学校报送本项目的安全生产情况分析报告。</w:t>
      </w:r>
    </w:p>
    <w:p>
      <w:pPr>
        <w:spacing w:line="240" w:lineRule="auto"/>
        <w:ind w:firstLine="0" w:firstLineChars="0"/>
        <w:rPr>
          <w:rFonts w:hint="eastAsia" w:ascii="Times New Roman" w:hAnsi="Times New Roman"/>
          <w:color w:val="000000" w:themeColor="text1"/>
          <w:sz w:val="21"/>
          <w:szCs w:val="24"/>
        </w:rPr>
      </w:pPr>
      <w:r>
        <w:rPr>
          <w:rFonts w:hint="eastAsia"/>
          <w:color w:val="000000" w:themeColor="text1"/>
          <w:sz w:val="21"/>
          <w:szCs w:val="24"/>
        </w:rPr>
        <w:t>4.  建立健全本项目的安全生产管理制度，包括：</w:t>
      </w:r>
      <w:r>
        <w:rPr>
          <w:rFonts w:hint="eastAsia" w:ascii="Times New Roman" w:hAnsi="Times New Roman"/>
          <w:color w:val="000000" w:themeColor="text1"/>
          <w:sz w:val="21"/>
          <w:szCs w:val="24"/>
        </w:rPr>
        <w:t>制定本单位安全生产规章制度和操作规程</w:t>
      </w:r>
      <w:r>
        <w:rPr>
          <w:rFonts w:hint="eastAsia" w:ascii="Times New Roman" w:hAnsi="Times New Roman" w:cs="Times New Roman"/>
          <w:color w:val="000000"/>
          <w:kern w:val="2"/>
          <w:sz w:val="21"/>
          <w:szCs w:val="24"/>
        </w:rPr>
        <w:t>、“三类人员”安全生产任职考核制度、施工现场特种作业人员持证上岗制度、施工起重机械使用登记制度、消防安全责任制度、以及法律法规规定的其它有关制度</w:t>
      </w:r>
      <w:r>
        <w:rPr>
          <w:rFonts w:hint="eastAsia"/>
          <w:color w:val="000000" w:themeColor="text1"/>
          <w:sz w:val="21"/>
          <w:szCs w:val="24"/>
        </w:rPr>
        <w:t>。</w:t>
      </w:r>
    </w:p>
    <w:p>
      <w:pPr>
        <w:spacing w:line="240" w:lineRule="auto"/>
        <w:ind w:firstLine="0" w:firstLineChars="0"/>
        <w:rPr>
          <w:rFonts w:hint="eastAsia" w:ascii="Times New Roman" w:hAnsi="Times New Roman"/>
          <w:color w:val="000000" w:themeColor="text1"/>
          <w:sz w:val="21"/>
          <w:szCs w:val="24"/>
        </w:rPr>
      </w:pPr>
      <w:r>
        <w:rPr>
          <w:rFonts w:hint="eastAsia"/>
          <w:color w:val="000000" w:themeColor="text1"/>
          <w:sz w:val="21"/>
          <w:szCs w:val="24"/>
        </w:rPr>
        <w:t>5.  制定深</w:t>
      </w:r>
      <w:r>
        <w:rPr>
          <w:rFonts w:hint="eastAsia" w:ascii="Times New Roman" w:hAnsi="Times New Roman"/>
          <w:color w:val="000000" w:themeColor="text1"/>
          <w:sz w:val="21"/>
          <w:szCs w:val="24"/>
        </w:rPr>
        <w:t>基坑工程、高大模板工程、起重吊装工程、拆除和爆破工程、以及其他国务院建设行政主管部门或者其他有关部门规定的危险性较大的工程的专项施工方案，还应当组织专家进行论证、审查。</w:t>
      </w:r>
    </w:p>
    <w:p>
      <w:pPr>
        <w:spacing w:line="240" w:lineRule="auto"/>
        <w:ind w:firstLine="0" w:firstLineChars="0"/>
        <w:rPr>
          <w:rFonts w:hint="eastAsia"/>
          <w:color w:val="000000" w:themeColor="text1"/>
          <w:sz w:val="21"/>
          <w:szCs w:val="24"/>
        </w:rPr>
      </w:pPr>
      <w:r>
        <w:rPr>
          <w:rFonts w:hint="eastAsia"/>
          <w:color w:val="000000" w:themeColor="text1"/>
          <w:sz w:val="21"/>
          <w:szCs w:val="24"/>
        </w:rPr>
        <w:t>6.  制定本项目安全生产工作目标和计划，明确工作重点和内容，并组织实施，组织开展安全生产和文明施工的抽查、排查生产安全隐患和专项整治工作，对不具备安全生产条件的工种、工程、项目，应予以停止。</w:t>
      </w:r>
    </w:p>
    <w:p>
      <w:pPr>
        <w:spacing w:line="240" w:lineRule="auto"/>
        <w:ind w:firstLine="0" w:firstLineChars="0"/>
        <w:rPr>
          <w:rFonts w:hint="eastAsia" w:ascii="Times New Roman" w:hAnsi="Times New Roman"/>
          <w:color w:val="000000" w:themeColor="text1"/>
          <w:sz w:val="21"/>
          <w:szCs w:val="24"/>
        </w:rPr>
      </w:pPr>
      <w:r>
        <w:rPr>
          <w:rFonts w:hint="eastAsia"/>
          <w:color w:val="000000" w:themeColor="text1"/>
          <w:sz w:val="21"/>
          <w:szCs w:val="24"/>
        </w:rPr>
        <w:t>7.  制定安全教育培训制度，对</w:t>
      </w:r>
      <w:r>
        <w:rPr>
          <w:rFonts w:hint="eastAsia" w:ascii="Times New Roman" w:hAnsi="Times New Roman"/>
          <w:color w:val="000000" w:themeColor="text1"/>
          <w:sz w:val="21"/>
          <w:szCs w:val="24"/>
        </w:rPr>
        <w:t>作业人员在进入施工现场前或新的工作岗位，或当采用新技术、新工艺、新设备、新材料时，应当接受安全生产教育培训，培训合格和取得“平安卡”后，方能上岗作业。</w:t>
      </w:r>
    </w:p>
    <w:p>
      <w:pPr>
        <w:spacing w:line="240" w:lineRule="auto"/>
        <w:ind w:firstLine="0" w:firstLineChars="0"/>
        <w:rPr>
          <w:rFonts w:hint="eastAsia"/>
          <w:color w:val="000000" w:themeColor="text1"/>
          <w:sz w:val="21"/>
          <w:szCs w:val="24"/>
        </w:rPr>
      </w:pPr>
      <w:r>
        <w:rPr>
          <w:rFonts w:hint="eastAsia"/>
          <w:color w:val="000000" w:themeColor="text1"/>
          <w:sz w:val="21"/>
          <w:szCs w:val="24"/>
        </w:rPr>
        <w:t>8.  组织实施建设工程安全标准化管理，推动建设工程实现安全管理工作标准化、规范化，夯实安全生产工作基础。</w:t>
      </w:r>
    </w:p>
    <w:p>
      <w:pPr>
        <w:spacing w:line="240" w:lineRule="auto"/>
        <w:ind w:firstLine="0" w:firstLineChars="0"/>
        <w:rPr>
          <w:rFonts w:hint="eastAsia" w:ascii="Times New Roman" w:hAnsi="Times New Roman"/>
          <w:color w:val="000000" w:themeColor="text1"/>
          <w:sz w:val="21"/>
          <w:szCs w:val="24"/>
        </w:rPr>
      </w:pPr>
      <w:r>
        <w:rPr>
          <w:rFonts w:hint="eastAsia"/>
          <w:color w:val="000000" w:themeColor="text1"/>
          <w:sz w:val="21"/>
          <w:szCs w:val="24"/>
        </w:rPr>
        <w:t xml:space="preserve">9.  </w:t>
      </w:r>
      <w:r>
        <w:rPr>
          <w:rFonts w:hint="eastAsia" w:ascii="Times New Roman" w:hAnsi="Times New Roman"/>
          <w:color w:val="000000" w:themeColor="text1"/>
          <w:sz w:val="21"/>
          <w:szCs w:val="24"/>
        </w:rPr>
        <w:t>施工现场的办公、生活区与作业区分开设置，并保持安全距离；办公、生活区的选址应当符合安全性要求。职工的膳食、饮水、休息场所等应当符合卫生标准。不得在尚未竣工的建筑物内设置员工集体宿舍。</w:t>
      </w:r>
    </w:p>
    <w:p>
      <w:pPr>
        <w:spacing w:line="240" w:lineRule="auto"/>
        <w:ind w:firstLine="0" w:firstLineChars="0"/>
        <w:rPr>
          <w:rFonts w:hint="eastAsia"/>
          <w:color w:val="000000" w:themeColor="text1"/>
          <w:sz w:val="21"/>
          <w:szCs w:val="24"/>
        </w:rPr>
      </w:pPr>
      <w:r>
        <w:rPr>
          <w:rFonts w:hint="eastAsia"/>
          <w:color w:val="000000" w:themeColor="text1"/>
          <w:sz w:val="21"/>
          <w:szCs w:val="24"/>
        </w:rPr>
        <w:t>10. 对本项目的重大事故隐患，及时采用有效措施制止和监控；超出职责范围的，及时报告学校。</w:t>
      </w:r>
    </w:p>
    <w:p>
      <w:pPr>
        <w:spacing w:line="240" w:lineRule="auto"/>
        <w:ind w:firstLine="0" w:firstLineChars="0"/>
        <w:rPr>
          <w:rFonts w:hint="eastAsia"/>
          <w:color w:val="000000" w:themeColor="text1"/>
          <w:sz w:val="21"/>
          <w:szCs w:val="24"/>
        </w:rPr>
      </w:pPr>
      <w:r>
        <w:rPr>
          <w:rFonts w:hint="eastAsia"/>
          <w:color w:val="000000" w:themeColor="text1"/>
          <w:sz w:val="21"/>
          <w:szCs w:val="24"/>
        </w:rPr>
        <w:t>11. 制定本项目安全事故上报制度和应急救援预案，完善应急救援体系并组织演练。</w:t>
      </w:r>
    </w:p>
    <w:p>
      <w:pPr>
        <w:spacing w:line="240" w:lineRule="auto"/>
        <w:ind w:firstLine="0" w:firstLineChars="0"/>
        <w:rPr>
          <w:rFonts w:hint="eastAsia"/>
          <w:color w:val="000000" w:themeColor="text1"/>
          <w:sz w:val="21"/>
          <w:szCs w:val="24"/>
        </w:rPr>
      </w:pPr>
      <w:r>
        <w:rPr>
          <w:rFonts w:hint="eastAsia"/>
          <w:color w:val="000000" w:themeColor="text1"/>
          <w:sz w:val="21"/>
          <w:szCs w:val="24"/>
        </w:rPr>
        <w:t>12. 严格控制生产安全事故的发生，确保本项目无安全责任事故，力争施工现场无死亡事故。</w:t>
      </w:r>
    </w:p>
    <w:p>
      <w:pPr>
        <w:spacing w:line="240" w:lineRule="auto"/>
        <w:ind w:firstLine="0" w:firstLineChars="0"/>
        <w:rPr>
          <w:rFonts w:hint="eastAsia"/>
          <w:color w:val="000000" w:themeColor="text1"/>
          <w:sz w:val="21"/>
          <w:szCs w:val="24"/>
        </w:rPr>
      </w:pPr>
      <w:r>
        <w:rPr>
          <w:rFonts w:hint="eastAsia"/>
          <w:color w:val="000000" w:themeColor="text1"/>
          <w:sz w:val="21"/>
          <w:szCs w:val="24"/>
        </w:rPr>
        <w:t>13.以落实社会治安综合治理责任，坚持预防为主方针，强化基础管理，抓好综合治理措施。</w:t>
      </w:r>
    </w:p>
    <w:p>
      <w:pPr>
        <w:spacing w:line="240" w:lineRule="auto"/>
        <w:ind w:firstLine="0" w:firstLineChars="0"/>
        <w:rPr>
          <w:rFonts w:hint="eastAsia"/>
          <w:color w:val="000000" w:themeColor="text1"/>
          <w:sz w:val="21"/>
          <w:szCs w:val="24"/>
        </w:rPr>
      </w:pPr>
      <w:r>
        <w:rPr>
          <w:rFonts w:hint="eastAsia"/>
          <w:color w:val="000000" w:themeColor="text1"/>
          <w:sz w:val="21"/>
          <w:szCs w:val="24"/>
        </w:rPr>
        <w:t>14、在施工期间，学校将委派项目负责人跟进本项目的现场施工情况，对有违反有关法律、法规、规章、规定和强制性标准的单位和责任人，依照有关规定追究有关单位和责任人的法律责任，并列入黑名单，上报上级主管部门。</w:t>
      </w:r>
    </w:p>
    <w:p>
      <w:pPr>
        <w:spacing w:line="240" w:lineRule="auto"/>
        <w:ind w:firstLine="0" w:firstLineChars="0"/>
        <w:rPr>
          <w:rFonts w:hint="eastAsia"/>
          <w:color w:val="000000" w:themeColor="text1"/>
          <w:sz w:val="21"/>
          <w:szCs w:val="24"/>
        </w:rPr>
      </w:pPr>
      <w:r>
        <w:rPr>
          <w:rFonts w:hint="eastAsia"/>
          <w:color w:val="000000" w:themeColor="text1"/>
          <w:sz w:val="21"/>
          <w:szCs w:val="24"/>
        </w:rPr>
        <w:t xml:space="preserve"> </w:t>
      </w:r>
    </w:p>
    <w:tbl>
      <w:tblPr>
        <w:tblStyle w:val="9"/>
        <w:tblW w:w="8460" w:type="dxa"/>
        <w:tblInd w:w="648" w:type="dxa"/>
        <w:tblLayout w:type="fixed"/>
        <w:tblCellMar>
          <w:top w:w="0" w:type="dxa"/>
          <w:left w:w="108" w:type="dxa"/>
          <w:bottom w:w="0" w:type="dxa"/>
          <w:right w:w="108" w:type="dxa"/>
        </w:tblCellMar>
      </w:tblPr>
      <w:tblGrid>
        <w:gridCol w:w="3240"/>
        <w:gridCol w:w="986"/>
        <w:gridCol w:w="4234"/>
      </w:tblGrid>
      <w:tr>
        <w:tblPrEx>
          <w:tblLayout w:type="fixed"/>
        </w:tblPrEx>
        <w:tc>
          <w:tcPr>
            <w:tcW w:w="8460" w:type="dxa"/>
            <w:gridSpan w:val="3"/>
            <w:shd w:val="clear" w:color="auto" w:fill="auto"/>
            <w:vAlign w:val="center"/>
          </w:tcPr>
          <w:p>
            <w:pPr>
              <w:spacing w:before="0" w:beforeLines="-2147483648" w:after="0" w:afterLines="-2147483648" w:line="240" w:lineRule="auto"/>
              <w:rPr>
                <w:rFonts w:hint="eastAsia" w:ascii="Times New Roman" w:eastAsia="宋体"/>
                <w:b w:val="0"/>
                <w:color w:val="000000" w:themeColor="text1"/>
                <w:sz w:val="21"/>
                <w:szCs w:val="24"/>
              </w:rPr>
            </w:pPr>
            <w:r>
              <w:rPr>
                <w:rFonts w:hint="eastAsia" w:ascii="Times New Roman" w:hAnsi="Times New Roman" w:eastAsia="宋体"/>
                <w:b w:val="0"/>
                <w:color w:val="000000" w:themeColor="text1"/>
                <w:spacing w:val="0"/>
                <w:sz w:val="21"/>
                <w:szCs w:val="24"/>
              </w:rPr>
              <w:t>责任单位</w:t>
            </w:r>
          </w:p>
        </w:tc>
      </w:tr>
      <w:tr>
        <w:tblPrEx>
          <w:tblLayout w:type="fixed"/>
          <w:tblCellMar>
            <w:top w:w="0" w:type="dxa"/>
            <w:left w:w="108" w:type="dxa"/>
            <w:bottom w:w="0" w:type="dxa"/>
            <w:right w:w="108" w:type="dxa"/>
          </w:tblCellMar>
        </w:tblPrEx>
        <w:tc>
          <w:tcPr>
            <w:tcW w:w="4226" w:type="dxa"/>
            <w:gridSpan w:val="2"/>
            <w:shd w:val="clear" w:color="auto" w:fill="auto"/>
            <w:vAlign w:val="center"/>
          </w:tcPr>
          <w:p>
            <w:pPr>
              <w:spacing w:line="240" w:lineRule="auto"/>
              <w:rPr>
                <w:rFonts w:hint="eastAsia"/>
                <w:color w:val="000000" w:themeColor="text1"/>
                <w:sz w:val="21"/>
                <w:szCs w:val="24"/>
              </w:rPr>
            </w:pPr>
            <w:r>
              <w:rPr>
                <w:rFonts w:hint="eastAsia" w:ascii="Times New Roman" w:hAnsi="Times New Roman"/>
                <w:color w:val="000000" w:themeColor="text1"/>
                <w:spacing w:val="0"/>
                <w:sz w:val="21"/>
                <w:szCs w:val="24"/>
              </w:rPr>
              <w:t>施工单位（公章）：</w:t>
            </w:r>
          </w:p>
        </w:tc>
        <w:tc>
          <w:tcPr>
            <w:tcW w:w="4234" w:type="dxa"/>
            <w:shd w:val="clear" w:color="auto" w:fill="auto"/>
            <w:vAlign w:val="center"/>
          </w:tcPr>
          <w:p>
            <w:pPr>
              <w:spacing w:line="240" w:lineRule="auto"/>
              <w:rPr>
                <w:rFonts w:hint="eastAsia"/>
                <w:color w:val="000000" w:themeColor="text1"/>
                <w:sz w:val="21"/>
                <w:szCs w:val="24"/>
              </w:rPr>
            </w:pPr>
          </w:p>
        </w:tc>
      </w:tr>
      <w:tr>
        <w:tblPrEx>
          <w:tblLayout w:type="fixed"/>
          <w:tblCellMar>
            <w:top w:w="0" w:type="dxa"/>
            <w:left w:w="108" w:type="dxa"/>
            <w:bottom w:w="0" w:type="dxa"/>
            <w:right w:w="108" w:type="dxa"/>
          </w:tblCellMar>
        </w:tblPrEx>
        <w:tc>
          <w:tcPr>
            <w:tcW w:w="3240" w:type="dxa"/>
            <w:shd w:val="clear" w:color="auto" w:fill="auto"/>
            <w:vAlign w:val="center"/>
          </w:tcPr>
          <w:p>
            <w:pPr>
              <w:spacing w:line="240" w:lineRule="auto"/>
              <w:rPr>
                <w:rFonts w:hint="eastAsia"/>
                <w:color w:val="000000" w:themeColor="text1"/>
                <w:sz w:val="21"/>
                <w:szCs w:val="24"/>
              </w:rPr>
            </w:pPr>
            <w:r>
              <w:rPr>
                <w:rFonts w:hint="eastAsia" w:ascii="Times New Roman" w:hAnsi="Times New Roman"/>
                <w:color w:val="000000" w:themeColor="text1"/>
                <w:sz w:val="21"/>
                <w:szCs w:val="24"/>
              </w:rPr>
              <w:t>法人代表（签名）：</w:t>
            </w:r>
          </w:p>
        </w:tc>
        <w:tc>
          <w:tcPr>
            <w:tcW w:w="5220" w:type="dxa"/>
            <w:gridSpan w:val="2"/>
            <w:shd w:val="clear" w:color="auto" w:fill="auto"/>
            <w:vAlign w:val="center"/>
          </w:tcPr>
          <w:p>
            <w:pPr>
              <w:spacing w:line="240" w:lineRule="auto"/>
              <w:rPr>
                <w:rFonts w:hint="eastAsia"/>
                <w:color w:val="000000" w:themeColor="text1"/>
                <w:sz w:val="21"/>
                <w:szCs w:val="24"/>
              </w:rPr>
            </w:pPr>
          </w:p>
        </w:tc>
      </w:tr>
    </w:tbl>
    <w:p>
      <w:pPr>
        <w:snapToGrid/>
        <w:spacing w:line="240" w:lineRule="auto"/>
        <w:jc w:val="both"/>
        <w:rPr>
          <w:rFonts w:hint="eastAsia"/>
          <w:color w:val="000000" w:themeColor="text1"/>
          <w:sz w:val="21"/>
          <w:szCs w:val="24"/>
        </w:rPr>
      </w:pPr>
    </w:p>
    <w:p>
      <w:pPr>
        <w:snapToGrid/>
        <w:spacing w:line="240" w:lineRule="auto"/>
        <w:jc w:val="both"/>
        <w:rPr>
          <w:rFonts w:hint="eastAsia"/>
          <w:color w:val="000000" w:themeColor="text1"/>
          <w:sz w:val="21"/>
          <w:szCs w:val="24"/>
        </w:rPr>
      </w:pPr>
      <w:r>
        <w:rPr>
          <w:rFonts w:hint="eastAsia"/>
          <w:color w:val="000000" w:themeColor="text1"/>
          <w:sz w:val="21"/>
          <w:szCs w:val="24"/>
        </w:rPr>
        <w:t xml:space="preserve">                                 </w:t>
      </w:r>
      <w:r>
        <w:rPr>
          <w:rFonts w:hint="eastAsia"/>
          <w:color w:val="000000" w:themeColor="text1"/>
          <w:sz w:val="21"/>
          <w:szCs w:val="24"/>
          <w:u w:val="none"/>
        </w:rPr>
        <w:t xml:space="preserve">     </w:t>
      </w:r>
      <w:r>
        <w:rPr>
          <w:rFonts w:hint="eastAsia"/>
          <w:color w:val="000000" w:themeColor="text1"/>
          <w:sz w:val="21"/>
          <w:szCs w:val="24"/>
        </w:rPr>
        <w:t xml:space="preserve"> 年</w:t>
      </w:r>
      <w:r>
        <w:rPr>
          <w:rFonts w:hint="eastAsia"/>
          <w:color w:val="000000" w:themeColor="text1"/>
          <w:sz w:val="21"/>
          <w:szCs w:val="24"/>
          <w:u w:val="none"/>
        </w:rPr>
        <w:t xml:space="preserve">     </w:t>
      </w:r>
      <w:r>
        <w:rPr>
          <w:rFonts w:hint="eastAsia"/>
          <w:color w:val="000000" w:themeColor="text1"/>
          <w:sz w:val="21"/>
          <w:szCs w:val="24"/>
        </w:rPr>
        <w:t>月</w:t>
      </w:r>
      <w:r>
        <w:rPr>
          <w:rFonts w:hint="eastAsia"/>
          <w:color w:val="000000" w:themeColor="text1"/>
          <w:sz w:val="21"/>
          <w:szCs w:val="24"/>
          <w:u w:val="none"/>
        </w:rPr>
        <w:t xml:space="preserve">     </w:t>
      </w:r>
      <w:r>
        <w:rPr>
          <w:rFonts w:hint="eastAsia"/>
          <w:color w:val="000000" w:themeColor="text1"/>
          <w:sz w:val="21"/>
          <w:szCs w:val="24"/>
        </w:rPr>
        <w:t>日</w:t>
      </w:r>
    </w:p>
    <w:p>
      <w:pPr>
        <w:jc w:val="left"/>
        <w:rPr>
          <w:rFonts w:hint="eastAsia" w:eastAsia="宋体"/>
          <w:lang w:eastAsia="zh-CN"/>
        </w:rPr>
      </w:pPr>
      <w:bookmarkStart w:id="8" w:name="_GoBack"/>
      <w:bookmarkEnd w:id="8"/>
    </w:p>
    <w:sectPr>
      <w:pgSz w:w="11906" w:h="16838"/>
      <w:pgMar w:top="1270" w:right="1123" w:bottom="930" w:left="134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0"/>
    <w:family w:val="auto"/>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经典粗宋简">
    <w:altName w:val="宋体"/>
    <w:panose1 w:val="00000000000000000000"/>
    <w:charset w:val="86"/>
    <w:family w:val="modern"/>
    <w:pitch w:val="default"/>
    <w:sig w:usb0="00000000" w:usb1="00000000" w:usb2="0000001E"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tentative="0">
      <w:start w:val="1"/>
      <w:numFmt w:val="decimal"/>
      <w:lvlText w:val="4.%1"/>
      <w:lvlJc w:val="left"/>
      <w:pPr>
        <w:ind w:left="1270" w:hanging="420"/>
      </w:pPr>
      <w:rPr>
        <w:rFonts w:hint="eastAsia" w:cs="Times New Roman"/>
      </w:rPr>
    </w:lvl>
    <w:lvl w:ilvl="1" w:tentative="0">
      <w:start w:val="1"/>
      <w:numFmt w:val="lowerLetter"/>
      <w:lvlText w:val="%2)"/>
      <w:lvlJc w:val="left"/>
      <w:pPr>
        <w:ind w:left="1690" w:hanging="420"/>
      </w:pPr>
      <w:rPr>
        <w:rFonts w:cs="Times New Roman"/>
      </w:rPr>
    </w:lvl>
    <w:lvl w:ilvl="2" w:tentative="0">
      <w:start w:val="1"/>
      <w:numFmt w:val="lowerRoman"/>
      <w:lvlText w:val="%3."/>
      <w:lvlJc w:val="right"/>
      <w:pPr>
        <w:ind w:left="2110" w:hanging="420"/>
      </w:pPr>
      <w:rPr>
        <w:rFonts w:cs="Times New Roman"/>
      </w:rPr>
    </w:lvl>
    <w:lvl w:ilvl="3" w:tentative="0">
      <w:start w:val="1"/>
      <w:numFmt w:val="decimal"/>
      <w:lvlText w:val="%4."/>
      <w:lvlJc w:val="left"/>
      <w:pPr>
        <w:ind w:left="2530" w:hanging="420"/>
      </w:pPr>
      <w:rPr>
        <w:rFonts w:cs="Times New Roman"/>
      </w:rPr>
    </w:lvl>
    <w:lvl w:ilvl="4" w:tentative="0">
      <w:start w:val="1"/>
      <w:numFmt w:val="lowerLetter"/>
      <w:lvlText w:val="%5)"/>
      <w:lvlJc w:val="left"/>
      <w:pPr>
        <w:ind w:left="2950" w:hanging="420"/>
      </w:pPr>
      <w:rPr>
        <w:rFonts w:cs="Times New Roman"/>
      </w:rPr>
    </w:lvl>
    <w:lvl w:ilvl="5" w:tentative="0">
      <w:start w:val="1"/>
      <w:numFmt w:val="lowerRoman"/>
      <w:lvlText w:val="%6."/>
      <w:lvlJc w:val="right"/>
      <w:pPr>
        <w:ind w:left="3370" w:hanging="420"/>
      </w:pPr>
      <w:rPr>
        <w:rFonts w:cs="Times New Roman"/>
      </w:rPr>
    </w:lvl>
    <w:lvl w:ilvl="6" w:tentative="0">
      <w:start w:val="1"/>
      <w:numFmt w:val="decimal"/>
      <w:lvlText w:val="%7."/>
      <w:lvlJc w:val="left"/>
      <w:pPr>
        <w:ind w:left="3790" w:hanging="420"/>
      </w:pPr>
      <w:rPr>
        <w:rFonts w:cs="Times New Roman"/>
      </w:rPr>
    </w:lvl>
    <w:lvl w:ilvl="7" w:tentative="0">
      <w:start w:val="1"/>
      <w:numFmt w:val="lowerLetter"/>
      <w:lvlText w:val="%8)"/>
      <w:lvlJc w:val="left"/>
      <w:pPr>
        <w:ind w:left="4210" w:hanging="420"/>
      </w:pPr>
      <w:rPr>
        <w:rFonts w:cs="Times New Roman"/>
      </w:rPr>
    </w:lvl>
    <w:lvl w:ilvl="8" w:tentative="0">
      <w:start w:val="1"/>
      <w:numFmt w:val="lowerRoman"/>
      <w:lvlText w:val="%9."/>
      <w:lvlJc w:val="right"/>
      <w:pPr>
        <w:ind w:left="4630" w:hanging="420"/>
      </w:pPr>
      <w:rPr>
        <w:rFonts w:cs="Times New Roman"/>
      </w:rPr>
    </w:lvl>
  </w:abstractNum>
  <w:abstractNum w:abstractNumId="1">
    <w:nsid w:val="00000005"/>
    <w:multiLevelType w:val="multilevel"/>
    <w:tmpl w:val="00000005"/>
    <w:lvl w:ilvl="0" w:tentative="0">
      <w:start w:val="1"/>
      <w:numFmt w:val="decimal"/>
      <w:lvlText w:val="8.%1"/>
      <w:lvlJc w:val="left"/>
      <w:pPr>
        <w:ind w:left="900" w:hanging="420"/>
      </w:pPr>
      <w:rPr>
        <w:rFonts w:hint="eastAsia" w:cs="Times New Roman"/>
      </w:rPr>
    </w:lvl>
    <w:lvl w:ilvl="1" w:tentative="0">
      <w:start w:val="1"/>
      <w:numFmt w:val="lowerLetter"/>
      <w:lvlText w:val="%2)"/>
      <w:lvlJc w:val="left"/>
      <w:pPr>
        <w:ind w:left="1320" w:hanging="420"/>
      </w:pPr>
      <w:rPr>
        <w:rFonts w:cs="Times New Roman"/>
      </w:rPr>
    </w:lvl>
    <w:lvl w:ilvl="2" w:tentative="0">
      <w:start w:val="1"/>
      <w:numFmt w:val="lowerRoman"/>
      <w:lvlText w:val="%3."/>
      <w:lvlJc w:val="right"/>
      <w:pPr>
        <w:ind w:left="1740" w:hanging="420"/>
      </w:pPr>
      <w:rPr>
        <w:rFonts w:cs="Times New Roman"/>
      </w:rPr>
    </w:lvl>
    <w:lvl w:ilvl="3" w:tentative="0">
      <w:start w:val="1"/>
      <w:numFmt w:val="decimal"/>
      <w:lvlText w:val="%4."/>
      <w:lvlJc w:val="left"/>
      <w:pPr>
        <w:ind w:left="2160" w:hanging="420"/>
      </w:pPr>
      <w:rPr>
        <w:rFonts w:cs="Times New Roman"/>
      </w:rPr>
    </w:lvl>
    <w:lvl w:ilvl="4" w:tentative="0">
      <w:start w:val="1"/>
      <w:numFmt w:val="lowerLetter"/>
      <w:lvlText w:val="%5)"/>
      <w:lvlJc w:val="left"/>
      <w:pPr>
        <w:ind w:left="2580" w:hanging="420"/>
      </w:pPr>
      <w:rPr>
        <w:rFonts w:cs="Times New Roman"/>
      </w:rPr>
    </w:lvl>
    <w:lvl w:ilvl="5" w:tentative="0">
      <w:start w:val="1"/>
      <w:numFmt w:val="lowerRoman"/>
      <w:lvlText w:val="%6."/>
      <w:lvlJc w:val="right"/>
      <w:pPr>
        <w:ind w:left="3000" w:hanging="420"/>
      </w:pPr>
      <w:rPr>
        <w:rFonts w:cs="Times New Roman"/>
      </w:rPr>
    </w:lvl>
    <w:lvl w:ilvl="6" w:tentative="0">
      <w:start w:val="1"/>
      <w:numFmt w:val="decimal"/>
      <w:lvlText w:val="%7."/>
      <w:lvlJc w:val="left"/>
      <w:pPr>
        <w:ind w:left="3420" w:hanging="420"/>
      </w:pPr>
      <w:rPr>
        <w:rFonts w:cs="Times New Roman"/>
      </w:rPr>
    </w:lvl>
    <w:lvl w:ilvl="7" w:tentative="0">
      <w:start w:val="1"/>
      <w:numFmt w:val="lowerLetter"/>
      <w:lvlText w:val="%8)"/>
      <w:lvlJc w:val="left"/>
      <w:pPr>
        <w:ind w:left="3840" w:hanging="420"/>
      </w:pPr>
      <w:rPr>
        <w:rFonts w:cs="Times New Roman"/>
      </w:rPr>
    </w:lvl>
    <w:lvl w:ilvl="8" w:tentative="0">
      <w:start w:val="1"/>
      <w:numFmt w:val="lowerRoman"/>
      <w:lvlText w:val="%9."/>
      <w:lvlJc w:val="right"/>
      <w:pPr>
        <w:ind w:left="4260" w:hanging="420"/>
      </w:pPr>
      <w:rPr>
        <w:rFonts w:cs="Times New Roman"/>
      </w:rPr>
    </w:lvl>
  </w:abstractNum>
  <w:abstractNum w:abstractNumId="2">
    <w:nsid w:val="00000007"/>
    <w:multiLevelType w:val="multilevel"/>
    <w:tmpl w:val="00000007"/>
    <w:lvl w:ilvl="0" w:tentative="0">
      <w:start w:val="1"/>
      <w:numFmt w:val="decimal"/>
      <w:lvlText w:val="%1)"/>
      <w:lvlJc w:val="left"/>
      <w:pPr>
        <w:ind w:left="900" w:hanging="420"/>
      </w:pPr>
      <w:rPr>
        <w:rFonts w:cs="Times New Roman"/>
      </w:rPr>
    </w:lvl>
    <w:lvl w:ilvl="1" w:tentative="0">
      <w:start w:val="1"/>
      <w:numFmt w:val="lowerLetter"/>
      <w:lvlText w:val="%2)"/>
      <w:lvlJc w:val="left"/>
      <w:pPr>
        <w:ind w:left="1320" w:hanging="420"/>
      </w:pPr>
      <w:rPr>
        <w:rFonts w:cs="Times New Roman"/>
      </w:rPr>
    </w:lvl>
    <w:lvl w:ilvl="2" w:tentative="0">
      <w:start w:val="1"/>
      <w:numFmt w:val="lowerRoman"/>
      <w:lvlText w:val="%3."/>
      <w:lvlJc w:val="right"/>
      <w:pPr>
        <w:ind w:left="1740" w:hanging="420"/>
      </w:pPr>
      <w:rPr>
        <w:rFonts w:cs="Times New Roman"/>
      </w:rPr>
    </w:lvl>
    <w:lvl w:ilvl="3" w:tentative="0">
      <w:start w:val="1"/>
      <w:numFmt w:val="decimal"/>
      <w:lvlText w:val="%4."/>
      <w:lvlJc w:val="left"/>
      <w:pPr>
        <w:ind w:left="2160" w:hanging="420"/>
      </w:pPr>
      <w:rPr>
        <w:rFonts w:cs="Times New Roman"/>
      </w:rPr>
    </w:lvl>
    <w:lvl w:ilvl="4" w:tentative="0">
      <w:start w:val="1"/>
      <w:numFmt w:val="lowerLetter"/>
      <w:lvlText w:val="%5)"/>
      <w:lvlJc w:val="left"/>
      <w:pPr>
        <w:ind w:left="2580" w:hanging="420"/>
      </w:pPr>
      <w:rPr>
        <w:rFonts w:cs="Times New Roman"/>
      </w:rPr>
    </w:lvl>
    <w:lvl w:ilvl="5" w:tentative="0">
      <w:start w:val="1"/>
      <w:numFmt w:val="lowerRoman"/>
      <w:lvlText w:val="%6."/>
      <w:lvlJc w:val="right"/>
      <w:pPr>
        <w:ind w:left="3000" w:hanging="420"/>
      </w:pPr>
      <w:rPr>
        <w:rFonts w:cs="Times New Roman"/>
      </w:rPr>
    </w:lvl>
    <w:lvl w:ilvl="6" w:tentative="0">
      <w:start w:val="1"/>
      <w:numFmt w:val="decimal"/>
      <w:lvlText w:val="%7."/>
      <w:lvlJc w:val="left"/>
      <w:pPr>
        <w:ind w:left="3420" w:hanging="420"/>
      </w:pPr>
      <w:rPr>
        <w:rFonts w:cs="Times New Roman"/>
      </w:rPr>
    </w:lvl>
    <w:lvl w:ilvl="7" w:tentative="0">
      <w:start w:val="1"/>
      <w:numFmt w:val="lowerLetter"/>
      <w:lvlText w:val="%8)"/>
      <w:lvlJc w:val="left"/>
      <w:pPr>
        <w:ind w:left="3840" w:hanging="420"/>
      </w:pPr>
      <w:rPr>
        <w:rFonts w:cs="Times New Roman"/>
      </w:rPr>
    </w:lvl>
    <w:lvl w:ilvl="8" w:tentative="0">
      <w:start w:val="1"/>
      <w:numFmt w:val="lowerRoman"/>
      <w:lvlText w:val="%9."/>
      <w:lvlJc w:val="right"/>
      <w:pPr>
        <w:ind w:left="4260" w:hanging="420"/>
      </w:pPr>
      <w:rPr>
        <w:rFonts w:cs="Times New Roman"/>
      </w:rPr>
    </w:lvl>
  </w:abstractNum>
  <w:abstractNum w:abstractNumId="3">
    <w:nsid w:val="0000000B"/>
    <w:multiLevelType w:val="multilevel"/>
    <w:tmpl w:val="0000000B"/>
    <w:lvl w:ilvl="0" w:tentative="0">
      <w:start w:val="1"/>
      <w:numFmt w:val="decimal"/>
      <w:lvlText w:val="10.%1"/>
      <w:lvlJc w:val="left"/>
      <w:pPr>
        <w:ind w:left="900" w:hanging="420"/>
      </w:pPr>
      <w:rPr>
        <w:rFonts w:hint="eastAsia" w:cs="Times New Roman"/>
      </w:rPr>
    </w:lvl>
    <w:lvl w:ilvl="1" w:tentative="0">
      <w:start w:val="1"/>
      <w:numFmt w:val="lowerLetter"/>
      <w:lvlText w:val="%2)"/>
      <w:lvlJc w:val="left"/>
      <w:pPr>
        <w:ind w:left="1320" w:hanging="420"/>
      </w:pPr>
      <w:rPr>
        <w:rFonts w:cs="Times New Roman"/>
      </w:rPr>
    </w:lvl>
    <w:lvl w:ilvl="2" w:tentative="0">
      <w:start w:val="1"/>
      <w:numFmt w:val="lowerRoman"/>
      <w:lvlText w:val="%3."/>
      <w:lvlJc w:val="right"/>
      <w:pPr>
        <w:ind w:left="1740" w:hanging="420"/>
      </w:pPr>
      <w:rPr>
        <w:rFonts w:cs="Times New Roman"/>
      </w:rPr>
    </w:lvl>
    <w:lvl w:ilvl="3" w:tentative="0">
      <w:start w:val="1"/>
      <w:numFmt w:val="decimal"/>
      <w:lvlText w:val="%4."/>
      <w:lvlJc w:val="left"/>
      <w:pPr>
        <w:ind w:left="2160" w:hanging="420"/>
      </w:pPr>
      <w:rPr>
        <w:rFonts w:cs="Times New Roman"/>
      </w:rPr>
    </w:lvl>
    <w:lvl w:ilvl="4" w:tentative="0">
      <w:start w:val="1"/>
      <w:numFmt w:val="lowerLetter"/>
      <w:lvlText w:val="%5)"/>
      <w:lvlJc w:val="left"/>
      <w:pPr>
        <w:ind w:left="2580" w:hanging="420"/>
      </w:pPr>
      <w:rPr>
        <w:rFonts w:cs="Times New Roman"/>
      </w:rPr>
    </w:lvl>
    <w:lvl w:ilvl="5" w:tentative="0">
      <w:start w:val="1"/>
      <w:numFmt w:val="lowerRoman"/>
      <w:lvlText w:val="%6."/>
      <w:lvlJc w:val="right"/>
      <w:pPr>
        <w:ind w:left="3000" w:hanging="420"/>
      </w:pPr>
      <w:rPr>
        <w:rFonts w:cs="Times New Roman"/>
      </w:rPr>
    </w:lvl>
    <w:lvl w:ilvl="6" w:tentative="0">
      <w:start w:val="1"/>
      <w:numFmt w:val="decimal"/>
      <w:lvlText w:val="%7."/>
      <w:lvlJc w:val="left"/>
      <w:pPr>
        <w:ind w:left="3420" w:hanging="420"/>
      </w:pPr>
      <w:rPr>
        <w:rFonts w:cs="Times New Roman"/>
      </w:rPr>
    </w:lvl>
    <w:lvl w:ilvl="7" w:tentative="0">
      <w:start w:val="1"/>
      <w:numFmt w:val="lowerLetter"/>
      <w:lvlText w:val="%8)"/>
      <w:lvlJc w:val="left"/>
      <w:pPr>
        <w:ind w:left="3840" w:hanging="420"/>
      </w:pPr>
      <w:rPr>
        <w:rFonts w:cs="Times New Roman"/>
      </w:rPr>
    </w:lvl>
    <w:lvl w:ilvl="8" w:tentative="0">
      <w:start w:val="1"/>
      <w:numFmt w:val="lowerRoman"/>
      <w:lvlText w:val="%9."/>
      <w:lvlJc w:val="right"/>
      <w:pPr>
        <w:ind w:left="4260" w:hanging="420"/>
      </w:pPr>
      <w:rPr>
        <w:rFonts w:cs="Times New Roman"/>
      </w:rPr>
    </w:lvl>
  </w:abstractNum>
  <w:abstractNum w:abstractNumId="4">
    <w:nsid w:val="0000000D"/>
    <w:multiLevelType w:val="multilevel"/>
    <w:tmpl w:val="0000000D"/>
    <w:lvl w:ilvl="0" w:tentative="0">
      <w:start w:val="1"/>
      <w:numFmt w:val="decimal"/>
      <w:lvlText w:val="7.%1"/>
      <w:lvlJc w:val="left"/>
      <w:pPr>
        <w:ind w:left="987" w:hanging="420"/>
      </w:pPr>
      <w:rPr>
        <w:rFonts w:hint="eastAsia" w:cs="Times New Roman"/>
      </w:rPr>
    </w:lvl>
    <w:lvl w:ilvl="1" w:tentative="0">
      <w:start w:val="1"/>
      <w:numFmt w:val="lowerLetter"/>
      <w:lvlText w:val="%2)"/>
      <w:lvlJc w:val="left"/>
      <w:pPr>
        <w:ind w:left="1407" w:hanging="420"/>
      </w:pPr>
      <w:rPr>
        <w:rFonts w:cs="Times New Roman"/>
      </w:rPr>
    </w:lvl>
    <w:lvl w:ilvl="2" w:tentative="0">
      <w:start w:val="1"/>
      <w:numFmt w:val="lowerRoman"/>
      <w:lvlText w:val="%3."/>
      <w:lvlJc w:val="right"/>
      <w:pPr>
        <w:ind w:left="1827" w:hanging="420"/>
      </w:pPr>
      <w:rPr>
        <w:rFonts w:cs="Times New Roman"/>
      </w:rPr>
    </w:lvl>
    <w:lvl w:ilvl="3" w:tentative="0">
      <w:start w:val="1"/>
      <w:numFmt w:val="decimal"/>
      <w:lvlText w:val="%4."/>
      <w:lvlJc w:val="left"/>
      <w:pPr>
        <w:ind w:left="2247" w:hanging="420"/>
      </w:pPr>
      <w:rPr>
        <w:rFonts w:cs="Times New Roman"/>
      </w:rPr>
    </w:lvl>
    <w:lvl w:ilvl="4" w:tentative="0">
      <w:start w:val="1"/>
      <w:numFmt w:val="lowerLetter"/>
      <w:lvlText w:val="%5)"/>
      <w:lvlJc w:val="left"/>
      <w:pPr>
        <w:ind w:left="2667" w:hanging="420"/>
      </w:pPr>
      <w:rPr>
        <w:rFonts w:cs="Times New Roman"/>
      </w:rPr>
    </w:lvl>
    <w:lvl w:ilvl="5" w:tentative="0">
      <w:start w:val="1"/>
      <w:numFmt w:val="lowerRoman"/>
      <w:lvlText w:val="%6."/>
      <w:lvlJc w:val="right"/>
      <w:pPr>
        <w:ind w:left="3087" w:hanging="420"/>
      </w:pPr>
      <w:rPr>
        <w:rFonts w:cs="Times New Roman"/>
      </w:rPr>
    </w:lvl>
    <w:lvl w:ilvl="6" w:tentative="0">
      <w:start w:val="1"/>
      <w:numFmt w:val="decimal"/>
      <w:lvlText w:val="%7."/>
      <w:lvlJc w:val="left"/>
      <w:pPr>
        <w:ind w:left="3507" w:hanging="420"/>
      </w:pPr>
      <w:rPr>
        <w:rFonts w:cs="Times New Roman"/>
      </w:rPr>
    </w:lvl>
    <w:lvl w:ilvl="7" w:tentative="0">
      <w:start w:val="1"/>
      <w:numFmt w:val="lowerLetter"/>
      <w:lvlText w:val="%8)"/>
      <w:lvlJc w:val="left"/>
      <w:pPr>
        <w:ind w:left="3927" w:hanging="420"/>
      </w:pPr>
      <w:rPr>
        <w:rFonts w:cs="Times New Roman"/>
      </w:rPr>
    </w:lvl>
    <w:lvl w:ilvl="8" w:tentative="0">
      <w:start w:val="1"/>
      <w:numFmt w:val="lowerRoman"/>
      <w:lvlText w:val="%9."/>
      <w:lvlJc w:val="right"/>
      <w:pPr>
        <w:ind w:left="4347" w:hanging="420"/>
      </w:pPr>
      <w:rPr>
        <w:rFonts w:cs="Times New Roman"/>
      </w:rPr>
    </w:lvl>
  </w:abstractNum>
  <w:abstractNum w:abstractNumId="5">
    <w:nsid w:val="0000000E"/>
    <w:multiLevelType w:val="multilevel"/>
    <w:tmpl w:val="0000000E"/>
    <w:lvl w:ilvl="0" w:tentative="0">
      <w:start w:val="1"/>
      <w:numFmt w:val="decimal"/>
      <w:lvlText w:val="9.%1"/>
      <w:lvlJc w:val="left"/>
      <w:pPr>
        <w:ind w:left="900" w:hanging="420"/>
      </w:pPr>
      <w:rPr>
        <w:rFonts w:hint="eastAsia" w:cs="Times New Roman"/>
      </w:rPr>
    </w:lvl>
    <w:lvl w:ilvl="1" w:tentative="0">
      <w:start w:val="1"/>
      <w:numFmt w:val="lowerLetter"/>
      <w:lvlText w:val="%2)"/>
      <w:lvlJc w:val="left"/>
      <w:pPr>
        <w:ind w:left="1320" w:hanging="420"/>
      </w:pPr>
      <w:rPr>
        <w:rFonts w:cs="Times New Roman"/>
      </w:rPr>
    </w:lvl>
    <w:lvl w:ilvl="2" w:tentative="0">
      <w:start w:val="1"/>
      <w:numFmt w:val="lowerRoman"/>
      <w:lvlText w:val="%3."/>
      <w:lvlJc w:val="right"/>
      <w:pPr>
        <w:ind w:left="1740" w:hanging="420"/>
      </w:pPr>
      <w:rPr>
        <w:rFonts w:cs="Times New Roman"/>
      </w:rPr>
    </w:lvl>
    <w:lvl w:ilvl="3" w:tentative="0">
      <w:start w:val="1"/>
      <w:numFmt w:val="decimal"/>
      <w:lvlText w:val="%4."/>
      <w:lvlJc w:val="left"/>
      <w:pPr>
        <w:ind w:left="2160" w:hanging="420"/>
      </w:pPr>
      <w:rPr>
        <w:rFonts w:cs="Times New Roman"/>
      </w:rPr>
    </w:lvl>
    <w:lvl w:ilvl="4" w:tentative="0">
      <w:start w:val="1"/>
      <w:numFmt w:val="lowerLetter"/>
      <w:lvlText w:val="%5)"/>
      <w:lvlJc w:val="left"/>
      <w:pPr>
        <w:ind w:left="2580" w:hanging="420"/>
      </w:pPr>
      <w:rPr>
        <w:rFonts w:cs="Times New Roman"/>
      </w:rPr>
    </w:lvl>
    <w:lvl w:ilvl="5" w:tentative="0">
      <w:start w:val="1"/>
      <w:numFmt w:val="lowerRoman"/>
      <w:lvlText w:val="%6."/>
      <w:lvlJc w:val="right"/>
      <w:pPr>
        <w:ind w:left="3000" w:hanging="420"/>
      </w:pPr>
      <w:rPr>
        <w:rFonts w:cs="Times New Roman"/>
      </w:rPr>
    </w:lvl>
    <w:lvl w:ilvl="6" w:tentative="0">
      <w:start w:val="1"/>
      <w:numFmt w:val="decimal"/>
      <w:lvlText w:val="%7."/>
      <w:lvlJc w:val="left"/>
      <w:pPr>
        <w:ind w:left="3420" w:hanging="420"/>
      </w:pPr>
      <w:rPr>
        <w:rFonts w:cs="Times New Roman"/>
      </w:rPr>
    </w:lvl>
    <w:lvl w:ilvl="7" w:tentative="0">
      <w:start w:val="1"/>
      <w:numFmt w:val="lowerLetter"/>
      <w:lvlText w:val="%8)"/>
      <w:lvlJc w:val="left"/>
      <w:pPr>
        <w:ind w:left="3840" w:hanging="420"/>
      </w:pPr>
      <w:rPr>
        <w:rFonts w:cs="Times New Roman"/>
      </w:rPr>
    </w:lvl>
    <w:lvl w:ilvl="8" w:tentative="0">
      <w:start w:val="1"/>
      <w:numFmt w:val="lowerRoman"/>
      <w:lvlText w:val="%9."/>
      <w:lvlJc w:val="right"/>
      <w:pPr>
        <w:ind w:left="4260" w:hanging="420"/>
      </w:pPr>
      <w:rPr>
        <w:rFonts w:cs="Times New Roman"/>
      </w:rPr>
    </w:lvl>
  </w:abstractNum>
  <w:abstractNum w:abstractNumId="6">
    <w:nsid w:val="00000010"/>
    <w:multiLevelType w:val="multilevel"/>
    <w:tmpl w:val="00000010"/>
    <w:lvl w:ilvl="0" w:tentative="0">
      <w:start w:val="1"/>
      <w:numFmt w:val="decimal"/>
      <w:lvlText w:val="15.%1."/>
      <w:lvlJc w:val="left"/>
      <w:pPr>
        <w:ind w:left="840" w:hanging="420"/>
      </w:pPr>
      <w:rPr>
        <w:rFonts w:hint="eastAsia"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7">
    <w:nsid w:val="00000011"/>
    <w:multiLevelType w:val="multilevel"/>
    <w:tmpl w:val="00000011"/>
    <w:lvl w:ilvl="0" w:tentative="0">
      <w:start w:val="1"/>
      <w:numFmt w:val="decimal"/>
      <w:lvlText w:val="13.%1"/>
      <w:lvlJc w:val="left"/>
      <w:pPr>
        <w:ind w:left="1270" w:hanging="420"/>
      </w:pPr>
      <w:rPr>
        <w:rFonts w:hint="eastAsia" w:cs="Times New Roman"/>
      </w:rPr>
    </w:lvl>
    <w:lvl w:ilvl="1" w:tentative="0">
      <w:start w:val="1"/>
      <w:numFmt w:val="lowerLetter"/>
      <w:lvlText w:val="%2)"/>
      <w:lvlJc w:val="left"/>
      <w:pPr>
        <w:ind w:left="1690" w:hanging="420"/>
      </w:pPr>
      <w:rPr>
        <w:rFonts w:cs="Times New Roman"/>
      </w:rPr>
    </w:lvl>
    <w:lvl w:ilvl="2" w:tentative="0">
      <w:start w:val="1"/>
      <w:numFmt w:val="lowerRoman"/>
      <w:lvlText w:val="%3."/>
      <w:lvlJc w:val="right"/>
      <w:pPr>
        <w:ind w:left="2110" w:hanging="420"/>
      </w:pPr>
      <w:rPr>
        <w:rFonts w:cs="Times New Roman"/>
      </w:rPr>
    </w:lvl>
    <w:lvl w:ilvl="3" w:tentative="0">
      <w:start w:val="1"/>
      <w:numFmt w:val="decimal"/>
      <w:lvlText w:val="%4."/>
      <w:lvlJc w:val="left"/>
      <w:pPr>
        <w:ind w:left="2530" w:hanging="420"/>
      </w:pPr>
      <w:rPr>
        <w:rFonts w:cs="Times New Roman"/>
      </w:rPr>
    </w:lvl>
    <w:lvl w:ilvl="4" w:tentative="0">
      <w:start w:val="1"/>
      <w:numFmt w:val="lowerLetter"/>
      <w:lvlText w:val="%5)"/>
      <w:lvlJc w:val="left"/>
      <w:pPr>
        <w:ind w:left="2950" w:hanging="420"/>
      </w:pPr>
      <w:rPr>
        <w:rFonts w:cs="Times New Roman"/>
      </w:rPr>
    </w:lvl>
    <w:lvl w:ilvl="5" w:tentative="0">
      <w:start w:val="1"/>
      <w:numFmt w:val="lowerRoman"/>
      <w:lvlText w:val="%6."/>
      <w:lvlJc w:val="right"/>
      <w:pPr>
        <w:ind w:left="3370" w:hanging="420"/>
      </w:pPr>
      <w:rPr>
        <w:rFonts w:cs="Times New Roman"/>
      </w:rPr>
    </w:lvl>
    <w:lvl w:ilvl="6" w:tentative="0">
      <w:start w:val="1"/>
      <w:numFmt w:val="decimal"/>
      <w:lvlText w:val="%7."/>
      <w:lvlJc w:val="left"/>
      <w:pPr>
        <w:ind w:left="3790" w:hanging="420"/>
      </w:pPr>
      <w:rPr>
        <w:rFonts w:cs="Times New Roman"/>
      </w:rPr>
    </w:lvl>
    <w:lvl w:ilvl="7" w:tentative="0">
      <w:start w:val="1"/>
      <w:numFmt w:val="lowerLetter"/>
      <w:lvlText w:val="%8)"/>
      <w:lvlJc w:val="left"/>
      <w:pPr>
        <w:ind w:left="4210" w:hanging="420"/>
      </w:pPr>
      <w:rPr>
        <w:rFonts w:cs="Times New Roman"/>
      </w:rPr>
    </w:lvl>
    <w:lvl w:ilvl="8" w:tentative="0">
      <w:start w:val="1"/>
      <w:numFmt w:val="lowerRoman"/>
      <w:lvlText w:val="%9."/>
      <w:lvlJc w:val="right"/>
      <w:pPr>
        <w:ind w:left="4630" w:hanging="420"/>
      </w:pPr>
      <w:rPr>
        <w:rFonts w:cs="Times New Roman"/>
      </w:rPr>
    </w:lvl>
  </w:abstractNum>
  <w:abstractNum w:abstractNumId="8">
    <w:nsid w:val="00000013"/>
    <w:multiLevelType w:val="multilevel"/>
    <w:tmpl w:val="00000013"/>
    <w:lvl w:ilvl="0" w:tentative="0">
      <w:start w:val="1"/>
      <w:numFmt w:val="decimal"/>
      <w:lvlText w:val="11.%1"/>
      <w:lvlJc w:val="left"/>
      <w:pPr>
        <w:ind w:left="1271" w:hanging="420"/>
      </w:pPr>
      <w:rPr>
        <w:rFonts w:hint="eastAsia" w:cs="Times New Roman"/>
      </w:rPr>
    </w:lvl>
    <w:lvl w:ilvl="1" w:tentative="0">
      <w:start w:val="1"/>
      <w:numFmt w:val="lowerLetter"/>
      <w:lvlText w:val="%2)"/>
      <w:lvlJc w:val="left"/>
      <w:pPr>
        <w:ind w:left="1691" w:hanging="420"/>
      </w:pPr>
      <w:rPr>
        <w:rFonts w:cs="Times New Roman"/>
      </w:rPr>
    </w:lvl>
    <w:lvl w:ilvl="2" w:tentative="0">
      <w:start w:val="1"/>
      <w:numFmt w:val="lowerRoman"/>
      <w:lvlText w:val="%3."/>
      <w:lvlJc w:val="right"/>
      <w:pPr>
        <w:ind w:left="2111" w:hanging="420"/>
      </w:pPr>
      <w:rPr>
        <w:rFonts w:cs="Times New Roman"/>
      </w:rPr>
    </w:lvl>
    <w:lvl w:ilvl="3" w:tentative="0">
      <w:start w:val="1"/>
      <w:numFmt w:val="decimal"/>
      <w:lvlText w:val="%4."/>
      <w:lvlJc w:val="left"/>
      <w:pPr>
        <w:ind w:left="2531" w:hanging="420"/>
      </w:pPr>
      <w:rPr>
        <w:rFonts w:cs="Times New Roman"/>
      </w:rPr>
    </w:lvl>
    <w:lvl w:ilvl="4" w:tentative="0">
      <w:start w:val="1"/>
      <w:numFmt w:val="lowerLetter"/>
      <w:lvlText w:val="%5)"/>
      <w:lvlJc w:val="left"/>
      <w:pPr>
        <w:ind w:left="2951" w:hanging="420"/>
      </w:pPr>
      <w:rPr>
        <w:rFonts w:cs="Times New Roman"/>
      </w:rPr>
    </w:lvl>
    <w:lvl w:ilvl="5" w:tentative="0">
      <w:start w:val="1"/>
      <w:numFmt w:val="lowerRoman"/>
      <w:lvlText w:val="%6."/>
      <w:lvlJc w:val="right"/>
      <w:pPr>
        <w:ind w:left="3371" w:hanging="420"/>
      </w:pPr>
      <w:rPr>
        <w:rFonts w:cs="Times New Roman"/>
      </w:rPr>
    </w:lvl>
    <w:lvl w:ilvl="6" w:tentative="0">
      <w:start w:val="1"/>
      <w:numFmt w:val="decimal"/>
      <w:lvlText w:val="%7."/>
      <w:lvlJc w:val="left"/>
      <w:pPr>
        <w:ind w:left="3791" w:hanging="420"/>
      </w:pPr>
      <w:rPr>
        <w:rFonts w:cs="Times New Roman"/>
      </w:rPr>
    </w:lvl>
    <w:lvl w:ilvl="7" w:tentative="0">
      <w:start w:val="1"/>
      <w:numFmt w:val="lowerLetter"/>
      <w:lvlText w:val="%8)"/>
      <w:lvlJc w:val="left"/>
      <w:pPr>
        <w:ind w:left="4211" w:hanging="420"/>
      </w:pPr>
      <w:rPr>
        <w:rFonts w:cs="Times New Roman"/>
      </w:rPr>
    </w:lvl>
    <w:lvl w:ilvl="8" w:tentative="0">
      <w:start w:val="1"/>
      <w:numFmt w:val="lowerRoman"/>
      <w:lvlText w:val="%9."/>
      <w:lvlJc w:val="right"/>
      <w:pPr>
        <w:ind w:left="4631" w:hanging="420"/>
      </w:pPr>
      <w:rPr>
        <w:rFonts w:cs="Times New Roman"/>
      </w:rPr>
    </w:lvl>
  </w:abstractNum>
  <w:abstractNum w:abstractNumId="9">
    <w:nsid w:val="00000014"/>
    <w:multiLevelType w:val="multilevel"/>
    <w:tmpl w:val="00000014"/>
    <w:lvl w:ilvl="0" w:tentative="0">
      <w:start w:val="1"/>
      <w:numFmt w:val="decimal"/>
      <w:lvlText w:val="5.%1"/>
      <w:lvlJc w:val="left"/>
      <w:pPr>
        <w:ind w:left="987" w:hanging="420"/>
      </w:pPr>
      <w:rPr>
        <w:rFonts w:hint="eastAsia" w:cs="Times New Roman"/>
      </w:rPr>
    </w:lvl>
    <w:lvl w:ilvl="1" w:tentative="0">
      <w:start w:val="1"/>
      <w:numFmt w:val="lowerLetter"/>
      <w:lvlText w:val="%2)"/>
      <w:lvlJc w:val="left"/>
      <w:pPr>
        <w:ind w:left="1407" w:hanging="420"/>
      </w:pPr>
      <w:rPr>
        <w:rFonts w:cs="Times New Roman"/>
      </w:rPr>
    </w:lvl>
    <w:lvl w:ilvl="2" w:tentative="0">
      <w:start w:val="1"/>
      <w:numFmt w:val="lowerRoman"/>
      <w:lvlText w:val="%3."/>
      <w:lvlJc w:val="right"/>
      <w:pPr>
        <w:ind w:left="1827" w:hanging="420"/>
      </w:pPr>
      <w:rPr>
        <w:rFonts w:cs="Times New Roman"/>
      </w:rPr>
    </w:lvl>
    <w:lvl w:ilvl="3" w:tentative="0">
      <w:start w:val="1"/>
      <w:numFmt w:val="decimal"/>
      <w:lvlText w:val="%4."/>
      <w:lvlJc w:val="left"/>
      <w:pPr>
        <w:ind w:left="2247" w:hanging="420"/>
      </w:pPr>
      <w:rPr>
        <w:rFonts w:cs="Times New Roman"/>
      </w:rPr>
    </w:lvl>
    <w:lvl w:ilvl="4" w:tentative="0">
      <w:start w:val="1"/>
      <w:numFmt w:val="lowerLetter"/>
      <w:lvlText w:val="%5)"/>
      <w:lvlJc w:val="left"/>
      <w:pPr>
        <w:ind w:left="2667" w:hanging="420"/>
      </w:pPr>
      <w:rPr>
        <w:rFonts w:cs="Times New Roman"/>
      </w:rPr>
    </w:lvl>
    <w:lvl w:ilvl="5" w:tentative="0">
      <w:start w:val="1"/>
      <w:numFmt w:val="lowerRoman"/>
      <w:lvlText w:val="%6."/>
      <w:lvlJc w:val="right"/>
      <w:pPr>
        <w:ind w:left="3087" w:hanging="420"/>
      </w:pPr>
      <w:rPr>
        <w:rFonts w:cs="Times New Roman"/>
      </w:rPr>
    </w:lvl>
    <w:lvl w:ilvl="6" w:tentative="0">
      <w:start w:val="1"/>
      <w:numFmt w:val="decimal"/>
      <w:lvlText w:val="%7."/>
      <w:lvlJc w:val="left"/>
      <w:pPr>
        <w:ind w:left="3507" w:hanging="420"/>
      </w:pPr>
      <w:rPr>
        <w:rFonts w:cs="Times New Roman"/>
      </w:rPr>
    </w:lvl>
    <w:lvl w:ilvl="7" w:tentative="0">
      <w:start w:val="1"/>
      <w:numFmt w:val="lowerLetter"/>
      <w:lvlText w:val="%8)"/>
      <w:lvlJc w:val="left"/>
      <w:pPr>
        <w:ind w:left="3927" w:hanging="420"/>
      </w:pPr>
      <w:rPr>
        <w:rFonts w:cs="Times New Roman"/>
      </w:rPr>
    </w:lvl>
    <w:lvl w:ilvl="8" w:tentative="0">
      <w:start w:val="1"/>
      <w:numFmt w:val="lowerRoman"/>
      <w:lvlText w:val="%9."/>
      <w:lvlJc w:val="right"/>
      <w:pPr>
        <w:ind w:left="4347" w:hanging="420"/>
      </w:pPr>
      <w:rPr>
        <w:rFonts w:cs="Times New Roman"/>
      </w:rPr>
    </w:lvl>
  </w:abstractNum>
  <w:abstractNum w:abstractNumId="10">
    <w:nsid w:val="00000015"/>
    <w:multiLevelType w:val="multilevel"/>
    <w:tmpl w:val="00000015"/>
    <w:lvl w:ilvl="0" w:tentative="0">
      <w:start w:val="1"/>
      <w:numFmt w:val="decimal"/>
      <w:lvlText w:val="3.4..%1."/>
      <w:lvlJc w:val="left"/>
      <w:pPr>
        <w:ind w:left="1271"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decimal"/>
      <w:lvlText w:val="3.4.%3"/>
      <w:lvlJc w:val="left"/>
      <w:pPr>
        <w:ind w:left="1260" w:hanging="420"/>
      </w:pPr>
      <w:rPr>
        <w:rFonts w:hint="eastAsia"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1">
    <w:nsid w:val="00000017"/>
    <w:multiLevelType w:val="multilevel"/>
    <w:tmpl w:val="00000017"/>
    <w:lvl w:ilvl="0" w:tentative="0">
      <w:start w:val="1"/>
      <w:numFmt w:val="decimal"/>
      <w:lvlText w:val="%1)"/>
      <w:lvlJc w:val="left"/>
      <w:pPr>
        <w:ind w:left="1271" w:hanging="420"/>
      </w:pPr>
      <w:rPr>
        <w:rFonts w:cs="Times New Roman"/>
      </w:rPr>
    </w:lvl>
    <w:lvl w:ilvl="1" w:tentative="0">
      <w:start w:val="1"/>
      <w:numFmt w:val="lowerLetter"/>
      <w:lvlText w:val="%2)"/>
      <w:lvlJc w:val="left"/>
      <w:pPr>
        <w:ind w:left="1691" w:hanging="420"/>
      </w:pPr>
      <w:rPr>
        <w:rFonts w:cs="Times New Roman"/>
      </w:rPr>
    </w:lvl>
    <w:lvl w:ilvl="2" w:tentative="0">
      <w:start w:val="1"/>
      <w:numFmt w:val="lowerRoman"/>
      <w:lvlText w:val="%3."/>
      <w:lvlJc w:val="right"/>
      <w:pPr>
        <w:ind w:left="2111" w:hanging="420"/>
      </w:pPr>
      <w:rPr>
        <w:rFonts w:cs="Times New Roman"/>
      </w:rPr>
    </w:lvl>
    <w:lvl w:ilvl="3" w:tentative="0">
      <w:start w:val="1"/>
      <w:numFmt w:val="decimal"/>
      <w:lvlText w:val="%4."/>
      <w:lvlJc w:val="left"/>
      <w:pPr>
        <w:ind w:left="2531" w:hanging="420"/>
      </w:pPr>
      <w:rPr>
        <w:rFonts w:cs="Times New Roman"/>
      </w:rPr>
    </w:lvl>
    <w:lvl w:ilvl="4" w:tentative="0">
      <w:start w:val="1"/>
      <w:numFmt w:val="lowerLetter"/>
      <w:lvlText w:val="%5)"/>
      <w:lvlJc w:val="left"/>
      <w:pPr>
        <w:ind w:left="2951" w:hanging="420"/>
      </w:pPr>
      <w:rPr>
        <w:rFonts w:cs="Times New Roman"/>
      </w:rPr>
    </w:lvl>
    <w:lvl w:ilvl="5" w:tentative="0">
      <w:start w:val="1"/>
      <w:numFmt w:val="lowerRoman"/>
      <w:lvlText w:val="%6."/>
      <w:lvlJc w:val="right"/>
      <w:pPr>
        <w:ind w:left="3371" w:hanging="420"/>
      </w:pPr>
      <w:rPr>
        <w:rFonts w:cs="Times New Roman"/>
      </w:rPr>
    </w:lvl>
    <w:lvl w:ilvl="6" w:tentative="0">
      <w:start w:val="1"/>
      <w:numFmt w:val="decimal"/>
      <w:lvlText w:val="%7."/>
      <w:lvlJc w:val="left"/>
      <w:pPr>
        <w:ind w:left="3791" w:hanging="420"/>
      </w:pPr>
      <w:rPr>
        <w:rFonts w:cs="Times New Roman"/>
      </w:rPr>
    </w:lvl>
    <w:lvl w:ilvl="7" w:tentative="0">
      <w:start w:val="1"/>
      <w:numFmt w:val="lowerLetter"/>
      <w:lvlText w:val="%8)"/>
      <w:lvlJc w:val="left"/>
      <w:pPr>
        <w:ind w:left="4211" w:hanging="420"/>
      </w:pPr>
      <w:rPr>
        <w:rFonts w:cs="Times New Roman"/>
      </w:rPr>
    </w:lvl>
    <w:lvl w:ilvl="8" w:tentative="0">
      <w:start w:val="1"/>
      <w:numFmt w:val="lowerRoman"/>
      <w:lvlText w:val="%9."/>
      <w:lvlJc w:val="right"/>
      <w:pPr>
        <w:ind w:left="4631" w:hanging="420"/>
      </w:pPr>
      <w:rPr>
        <w:rFonts w:cs="Times New Roman"/>
      </w:rPr>
    </w:lvl>
  </w:abstractNum>
  <w:abstractNum w:abstractNumId="12">
    <w:nsid w:val="00000018"/>
    <w:multiLevelType w:val="multilevel"/>
    <w:tmpl w:val="00000018"/>
    <w:lvl w:ilvl="0" w:tentative="0">
      <w:start w:val="1"/>
      <w:numFmt w:val="decimal"/>
      <w:lvlText w:val="%1)"/>
      <w:lvlJc w:val="left"/>
      <w:pPr>
        <w:ind w:left="990" w:hanging="420"/>
      </w:pPr>
      <w:rPr>
        <w:rFonts w:cs="Times New Roman"/>
      </w:rPr>
    </w:lvl>
    <w:lvl w:ilvl="1" w:tentative="0">
      <w:start w:val="1"/>
      <w:numFmt w:val="lowerLetter"/>
      <w:lvlText w:val="%2)"/>
      <w:lvlJc w:val="left"/>
      <w:pPr>
        <w:ind w:left="1410" w:hanging="420"/>
      </w:pPr>
      <w:rPr>
        <w:rFonts w:cs="Times New Roman"/>
      </w:rPr>
    </w:lvl>
    <w:lvl w:ilvl="2" w:tentative="0">
      <w:start w:val="1"/>
      <w:numFmt w:val="lowerRoman"/>
      <w:lvlText w:val="%3."/>
      <w:lvlJc w:val="right"/>
      <w:pPr>
        <w:ind w:left="1830" w:hanging="420"/>
      </w:pPr>
      <w:rPr>
        <w:rFonts w:cs="Times New Roman"/>
      </w:rPr>
    </w:lvl>
    <w:lvl w:ilvl="3" w:tentative="0">
      <w:start w:val="1"/>
      <w:numFmt w:val="decimal"/>
      <w:lvlText w:val="%4."/>
      <w:lvlJc w:val="left"/>
      <w:pPr>
        <w:ind w:left="2250" w:hanging="420"/>
      </w:pPr>
      <w:rPr>
        <w:rFonts w:cs="Times New Roman"/>
      </w:rPr>
    </w:lvl>
    <w:lvl w:ilvl="4" w:tentative="0">
      <w:start w:val="1"/>
      <w:numFmt w:val="lowerLetter"/>
      <w:lvlText w:val="%5)"/>
      <w:lvlJc w:val="left"/>
      <w:pPr>
        <w:ind w:left="2670" w:hanging="420"/>
      </w:pPr>
      <w:rPr>
        <w:rFonts w:cs="Times New Roman"/>
      </w:rPr>
    </w:lvl>
    <w:lvl w:ilvl="5" w:tentative="0">
      <w:start w:val="1"/>
      <w:numFmt w:val="lowerRoman"/>
      <w:lvlText w:val="%6."/>
      <w:lvlJc w:val="right"/>
      <w:pPr>
        <w:ind w:left="3090" w:hanging="420"/>
      </w:pPr>
      <w:rPr>
        <w:rFonts w:cs="Times New Roman"/>
      </w:rPr>
    </w:lvl>
    <w:lvl w:ilvl="6" w:tentative="0">
      <w:start w:val="1"/>
      <w:numFmt w:val="decimal"/>
      <w:lvlText w:val="%7."/>
      <w:lvlJc w:val="left"/>
      <w:pPr>
        <w:ind w:left="3510" w:hanging="420"/>
      </w:pPr>
      <w:rPr>
        <w:rFonts w:cs="Times New Roman"/>
      </w:rPr>
    </w:lvl>
    <w:lvl w:ilvl="7" w:tentative="0">
      <w:start w:val="1"/>
      <w:numFmt w:val="lowerLetter"/>
      <w:lvlText w:val="%8)"/>
      <w:lvlJc w:val="left"/>
      <w:pPr>
        <w:ind w:left="3930" w:hanging="420"/>
      </w:pPr>
      <w:rPr>
        <w:rFonts w:cs="Times New Roman"/>
      </w:rPr>
    </w:lvl>
    <w:lvl w:ilvl="8" w:tentative="0">
      <w:start w:val="1"/>
      <w:numFmt w:val="lowerRoman"/>
      <w:lvlText w:val="%9."/>
      <w:lvlJc w:val="right"/>
      <w:pPr>
        <w:ind w:left="4350" w:hanging="420"/>
      </w:pPr>
      <w:rPr>
        <w:rFonts w:cs="Times New Roman"/>
      </w:rPr>
    </w:lvl>
  </w:abstractNum>
  <w:abstractNum w:abstractNumId="13">
    <w:nsid w:val="0000001A"/>
    <w:multiLevelType w:val="multilevel"/>
    <w:tmpl w:val="0000001A"/>
    <w:lvl w:ilvl="0" w:tentative="0">
      <w:start w:val="1"/>
      <w:numFmt w:val="decimal"/>
      <w:lvlText w:val="1.%1"/>
      <w:lvlJc w:val="left"/>
      <w:pPr>
        <w:ind w:left="562" w:hanging="420"/>
      </w:pPr>
      <w:rPr>
        <w:rFonts w:hint="eastAsia" w:cs="Times New Roman"/>
      </w:rPr>
    </w:lvl>
    <w:lvl w:ilvl="1" w:tentative="0">
      <w:start w:val="1"/>
      <w:numFmt w:val="lowerLetter"/>
      <w:lvlText w:val="%2)"/>
      <w:lvlJc w:val="left"/>
      <w:pPr>
        <w:ind w:left="982" w:hanging="420"/>
      </w:pPr>
      <w:rPr>
        <w:rFonts w:cs="Times New Roman"/>
      </w:rPr>
    </w:lvl>
    <w:lvl w:ilvl="2" w:tentative="0">
      <w:start w:val="1"/>
      <w:numFmt w:val="lowerRoman"/>
      <w:lvlText w:val="%3."/>
      <w:lvlJc w:val="right"/>
      <w:pPr>
        <w:ind w:left="1402" w:hanging="420"/>
      </w:pPr>
      <w:rPr>
        <w:rFonts w:cs="Times New Roman"/>
      </w:rPr>
    </w:lvl>
    <w:lvl w:ilvl="3" w:tentative="0">
      <w:start w:val="1"/>
      <w:numFmt w:val="decimal"/>
      <w:lvlText w:val="%4."/>
      <w:lvlJc w:val="left"/>
      <w:pPr>
        <w:ind w:left="1822" w:hanging="420"/>
      </w:pPr>
      <w:rPr>
        <w:rFonts w:cs="Times New Roman"/>
      </w:rPr>
    </w:lvl>
    <w:lvl w:ilvl="4" w:tentative="0">
      <w:start w:val="1"/>
      <w:numFmt w:val="lowerLetter"/>
      <w:lvlText w:val="%5)"/>
      <w:lvlJc w:val="left"/>
      <w:pPr>
        <w:ind w:left="2242" w:hanging="420"/>
      </w:pPr>
      <w:rPr>
        <w:rFonts w:cs="Times New Roman"/>
      </w:rPr>
    </w:lvl>
    <w:lvl w:ilvl="5" w:tentative="0">
      <w:start w:val="1"/>
      <w:numFmt w:val="lowerRoman"/>
      <w:lvlText w:val="%6."/>
      <w:lvlJc w:val="right"/>
      <w:pPr>
        <w:ind w:left="2662" w:hanging="420"/>
      </w:pPr>
      <w:rPr>
        <w:rFonts w:cs="Times New Roman"/>
      </w:rPr>
    </w:lvl>
    <w:lvl w:ilvl="6" w:tentative="0">
      <w:start w:val="1"/>
      <w:numFmt w:val="decimal"/>
      <w:lvlText w:val="%7."/>
      <w:lvlJc w:val="left"/>
      <w:pPr>
        <w:ind w:left="3082" w:hanging="420"/>
      </w:pPr>
      <w:rPr>
        <w:rFonts w:cs="Times New Roman"/>
      </w:rPr>
    </w:lvl>
    <w:lvl w:ilvl="7" w:tentative="0">
      <w:start w:val="1"/>
      <w:numFmt w:val="lowerLetter"/>
      <w:lvlText w:val="%8)"/>
      <w:lvlJc w:val="left"/>
      <w:pPr>
        <w:ind w:left="3502" w:hanging="420"/>
      </w:pPr>
      <w:rPr>
        <w:rFonts w:cs="Times New Roman"/>
      </w:rPr>
    </w:lvl>
    <w:lvl w:ilvl="8" w:tentative="0">
      <w:start w:val="1"/>
      <w:numFmt w:val="lowerRoman"/>
      <w:lvlText w:val="%9."/>
      <w:lvlJc w:val="right"/>
      <w:pPr>
        <w:ind w:left="3922" w:hanging="420"/>
      </w:pPr>
      <w:rPr>
        <w:rFonts w:cs="Times New Roman"/>
      </w:rPr>
    </w:lvl>
  </w:abstractNum>
  <w:abstractNum w:abstractNumId="14">
    <w:nsid w:val="0000001B"/>
    <w:multiLevelType w:val="multilevel"/>
    <w:tmpl w:val="0000001B"/>
    <w:lvl w:ilvl="0" w:tentative="0">
      <w:start w:val="1"/>
      <w:numFmt w:val="decimal"/>
      <w:lvlText w:val="14.%1"/>
      <w:lvlJc w:val="left"/>
      <w:pPr>
        <w:ind w:left="900" w:hanging="420"/>
      </w:pPr>
      <w:rPr>
        <w:rFonts w:hint="eastAsia" w:cs="Times New Roman"/>
      </w:rPr>
    </w:lvl>
    <w:lvl w:ilvl="1" w:tentative="0">
      <w:start w:val="1"/>
      <w:numFmt w:val="lowerLetter"/>
      <w:lvlText w:val="%2)"/>
      <w:lvlJc w:val="left"/>
      <w:pPr>
        <w:ind w:left="1320" w:hanging="420"/>
      </w:pPr>
      <w:rPr>
        <w:rFonts w:cs="Times New Roman"/>
      </w:rPr>
    </w:lvl>
    <w:lvl w:ilvl="2" w:tentative="0">
      <w:start w:val="1"/>
      <w:numFmt w:val="lowerRoman"/>
      <w:lvlText w:val="%3."/>
      <w:lvlJc w:val="right"/>
      <w:pPr>
        <w:ind w:left="1740" w:hanging="420"/>
      </w:pPr>
      <w:rPr>
        <w:rFonts w:cs="Times New Roman"/>
      </w:rPr>
    </w:lvl>
    <w:lvl w:ilvl="3" w:tentative="0">
      <w:start w:val="1"/>
      <w:numFmt w:val="decimal"/>
      <w:lvlText w:val="%4."/>
      <w:lvlJc w:val="left"/>
      <w:pPr>
        <w:ind w:left="2160" w:hanging="420"/>
      </w:pPr>
      <w:rPr>
        <w:rFonts w:cs="Times New Roman"/>
      </w:rPr>
    </w:lvl>
    <w:lvl w:ilvl="4" w:tentative="0">
      <w:start w:val="1"/>
      <w:numFmt w:val="lowerLetter"/>
      <w:lvlText w:val="%5)"/>
      <w:lvlJc w:val="left"/>
      <w:pPr>
        <w:ind w:left="2580" w:hanging="420"/>
      </w:pPr>
      <w:rPr>
        <w:rFonts w:cs="Times New Roman"/>
      </w:rPr>
    </w:lvl>
    <w:lvl w:ilvl="5" w:tentative="0">
      <w:start w:val="1"/>
      <w:numFmt w:val="lowerRoman"/>
      <w:lvlText w:val="%6."/>
      <w:lvlJc w:val="right"/>
      <w:pPr>
        <w:ind w:left="3000" w:hanging="420"/>
      </w:pPr>
      <w:rPr>
        <w:rFonts w:cs="Times New Roman"/>
      </w:rPr>
    </w:lvl>
    <w:lvl w:ilvl="6" w:tentative="0">
      <w:start w:val="1"/>
      <w:numFmt w:val="decimal"/>
      <w:lvlText w:val="%7."/>
      <w:lvlJc w:val="left"/>
      <w:pPr>
        <w:ind w:left="3420" w:hanging="420"/>
      </w:pPr>
      <w:rPr>
        <w:rFonts w:cs="Times New Roman"/>
      </w:rPr>
    </w:lvl>
    <w:lvl w:ilvl="7" w:tentative="0">
      <w:start w:val="1"/>
      <w:numFmt w:val="lowerLetter"/>
      <w:lvlText w:val="%8)"/>
      <w:lvlJc w:val="left"/>
      <w:pPr>
        <w:ind w:left="3840" w:hanging="420"/>
      </w:pPr>
      <w:rPr>
        <w:rFonts w:cs="Times New Roman"/>
      </w:rPr>
    </w:lvl>
    <w:lvl w:ilvl="8" w:tentative="0">
      <w:start w:val="1"/>
      <w:numFmt w:val="lowerRoman"/>
      <w:lvlText w:val="%9."/>
      <w:lvlJc w:val="right"/>
      <w:pPr>
        <w:ind w:left="4260" w:hanging="420"/>
      </w:pPr>
      <w:rPr>
        <w:rFonts w:cs="Times New Roman"/>
      </w:rPr>
    </w:lvl>
  </w:abstractNum>
  <w:abstractNum w:abstractNumId="15">
    <w:nsid w:val="0000001C"/>
    <w:multiLevelType w:val="multilevel"/>
    <w:tmpl w:val="0000001C"/>
    <w:lvl w:ilvl="0" w:tentative="0">
      <w:start w:val="1"/>
      <w:numFmt w:val="decimal"/>
      <w:lvlText w:val="17.%1"/>
      <w:lvlJc w:val="left"/>
      <w:pPr>
        <w:ind w:left="900" w:hanging="420"/>
      </w:pPr>
      <w:rPr>
        <w:rFonts w:hint="default" w:ascii="Times New Roman" w:hAnsi="Times New Roman" w:cs="Times New Roman"/>
      </w:rPr>
    </w:lvl>
    <w:lvl w:ilvl="1" w:tentative="0">
      <w:start w:val="1"/>
      <w:numFmt w:val="lowerLetter"/>
      <w:lvlText w:val="%2)"/>
      <w:lvlJc w:val="left"/>
      <w:pPr>
        <w:ind w:left="1320" w:hanging="420"/>
      </w:pPr>
      <w:rPr>
        <w:rFonts w:cs="Times New Roman"/>
      </w:rPr>
    </w:lvl>
    <w:lvl w:ilvl="2" w:tentative="0">
      <w:start w:val="1"/>
      <w:numFmt w:val="lowerRoman"/>
      <w:lvlText w:val="%3."/>
      <w:lvlJc w:val="right"/>
      <w:pPr>
        <w:ind w:left="1740" w:hanging="420"/>
      </w:pPr>
      <w:rPr>
        <w:rFonts w:cs="Times New Roman"/>
      </w:rPr>
    </w:lvl>
    <w:lvl w:ilvl="3" w:tentative="0">
      <w:start w:val="1"/>
      <w:numFmt w:val="decimal"/>
      <w:lvlText w:val="%4."/>
      <w:lvlJc w:val="left"/>
      <w:pPr>
        <w:ind w:left="2160" w:hanging="420"/>
      </w:pPr>
      <w:rPr>
        <w:rFonts w:cs="Times New Roman"/>
      </w:rPr>
    </w:lvl>
    <w:lvl w:ilvl="4" w:tentative="0">
      <w:start w:val="1"/>
      <w:numFmt w:val="lowerLetter"/>
      <w:lvlText w:val="%5)"/>
      <w:lvlJc w:val="left"/>
      <w:pPr>
        <w:ind w:left="2580" w:hanging="420"/>
      </w:pPr>
      <w:rPr>
        <w:rFonts w:cs="Times New Roman"/>
      </w:rPr>
    </w:lvl>
    <w:lvl w:ilvl="5" w:tentative="0">
      <w:start w:val="1"/>
      <w:numFmt w:val="lowerRoman"/>
      <w:lvlText w:val="%6."/>
      <w:lvlJc w:val="right"/>
      <w:pPr>
        <w:ind w:left="3000" w:hanging="420"/>
      </w:pPr>
      <w:rPr>
        <w:rFonts w:cs="Times New Roman"/>
      </w:rPr>
    </w:lvl>
    <w:lvl w:ilvl="6" w:tentative="0">
      <w:start w:val="1"/>
      <w:numFmt w:val="decimal"/>
      <w:lvlText w:val="%7."/>
      <w:lvlJc w:val="left"/>
      <w:pPr>
        <w:ind w:left="3420" w:hanging="420"/>
      </w:pPr>
      <w:rPr>
        <w:rFonts w:cs="Times New Roman"/>
      </w:rPr>
    </w:lvl>
    <w:lvl w:ilvl="7" w:tentative="0">
      <w:start w:val="1"/>
      <w:numFmt w:val="lowerLetter"/>
      <w:lvlText w:val="%8)"/>
      <w:lvlJc w:val="left"/>
      <w:pPr>
        <w:ind w:left="3840" w:hanging="420"/>
      </w:pPr>
      <w:rPr>
        <w:rFonts w:cs="Times New Roman"/>
      </w:rPr>
    </w:lvl>
    <w:lvl w:ilvl="8" w:tentative="0">
      <w:start w:val="1"/>
      <w:numFmt w:val="lowerRoman"/>
      <w:lvlText w:val="%9."/>
      <w:lvlJc w:val="right"/>
      <w:pPr>
        <w:ind w:left="4260" w:hanging="420"/>
      </w:pPr>
      <w:rPr>
        <w:rFonts w:cs="Times New Roman"/>
      </w:rPr>
    </w:lvl>
  </w:abstractNum>
  <w:abstractNum w:abstractNumId="16">
    <w:nsid w:val="0000001D"/>
    <w:multiLevelType w:val="multilevel"/>
    <w:tmpl w:val="0000001D"/>
    <w:lvl w:ilvl="0" w:tentative="0">
      <w:start w:val="1"/>
      <w:numFmt w:val="decimal"/>
      <w:lvlText w:val="21.%1"/>
      <w:lvlJc w:val="left"/>
      <w:pPr>
        <w:ind w:left="900" w:hanging="420"/>
      </w:pPr>
      <w:rPr>
        <w:rFonts w:hint="default" w:ascii="Times New Roman" w:hAnsi="Times New Roman" w:cs="Times New Roman"/>
      </w:rPr>
    </w:lvl>
    <w:lvl w:ilvl="1" w:tentative="0">
      <w:start w:val="1"/>
      <w:numFmt w:val="lowerLetter"/>
      <w:lvlText w:val="%2)"/>
      <w:lvlJc w:val="left"/>
      <w:pPr>
        <w:ind w:left="1320" w:hanging="420"/>
      </w:pPr>
      <w:rPr>
        <w:rFonts w:cs="Times New Roman"/>
      </w:rPr>
    </w:lvl>
    <w:lvl w:ilvl="2" w:tentative="0">
      <w:start w:val="1"/>
      <w:numFmt w:val="lowerRoman"/>
      <w:lvlText w:val="%3."/>
      <w:lvlJc w:val="right"/>
      <w:pPr>
        <w:ind w:left="1740" w:hanging="420"/>
      </w:pPr>
      <w:rPr>
        <w:rFonts w:cs="Times New Roman"/>
      </w:rPr>
    </w:lvl>
    <w:lvl w:ilvl="3" w:tentative="0">
      <w:start w:val="1"/>
      <w:numFmt w:val="decimal"/>
      <w:lvlText w:val="%4."/>
      <w:lvlJc w:val="left"/>
      <w:pPr>
        <w:ind w:left="2160" w:hanging="420"/>
      </w:pPr>
      <w:rPr>
        <w:rFonts w:cs="Times New Roman"/>
      </w:rPr>
    </w:lvl>
    <w:lvl w:ilvl="4" w:tentative="0">
      <w:start w:val="1"/>
      <w:numFmt w:val="lowerLetter"/>
      <w:lvlText w:val="%5)"/>
      <w:lvlJc w:val="left"/>
      <w:pPr>
        <w:ind w:left="2580" w:hanging="420"/>
      </w:pPr>
      <w:rPr>
        <w:rFonts w:cs="Times New Roman"/>
      </w:rPr>
    </w:lvl>
    <w:lvl w:ilvl="5" w:tentative="0">
      <w:start w:val="1"/>
      <w:numFmt w:val="lowerRoman"/>
      <w:lvlText w:val="%6."/>
      <w:lvlJc w:val="right"/>
      <w:pPr>
        <w:ind w:left="3000" w:hanging="420"/>
      </w:pPr>
      <w:rPr>
        <w:rFonts w:cs="Times New Roman"/>
      </w:rPr>
    </w:lvl>
    <w:lvl w:ilvl="6" w:tentative="0">
      <w:start w:val="1"/>
      <w:numFmt w:val="decimal"/>
      <w:lvlText w:val="%7."/>
      <w:lvlJc w:val="left"/>
      <w:pPr>
        <w:ind w:left="3420" w:hanging="420"/>
      </w:pPr>
      <w:rPr>
        <w:rFonts w:cs="Times New Roman"/>
      </w:rPr>
    </w:lvl>
    <w:lvl w:ilvl="7" w:tentative="0">
      <w:start w:val="1"/>
      <w:numFmt w:val="lowerLetter"/>
      <w:lvlText w:val="%8)"/>
      <w:lvlJc w:val="left"/>
      <w:pPr>
        <w:ind w:left="3840" w:hanging="420"/>
      </w:pPr>
      <w:rPr>
        <w:rFonts w:cs="Times New Roman"/>
      </w:rPr>
    </w:lvl>
    <w:lvl w:ilvl="8" w:tentative="0">
      <w:start w:val="1"/>
      <w:numFmt w:val="lowerRoman"/>
      <w:lvlText w:val="%9."/>
      <w:lvlJc w:val="right"/>
      <w:pPr>
        <w:ind w:left="4260" w:hanging="420"/>
      </w:pPr>
      <w:rPr>
        <w:rFonts w:cs="Times New Roman"/>
      </w:rPr>
    </w:lvl>
  </w:abstractNum>
  <w:abstractNum w:abstractNumId="17">
    <w:nsid w:val="0000001E"/>
    <w:multiLevelType w:val="multilevel"/>
    <w:tmpl w:val="0000001E"/>
    <w:lvl w:ilvl="0" w:tentative="0">
      <w:start w:val="1"/>
      <w:numFmt w:val="decimal"/>
      <w:lvlText w:val="3.%1"/>
      <w:lvlJc w:val="left"/>
      <w:pPr>
        <w:ind w:left="990" w:hanging="420"/>
      </w:pPr>
      <w:rPr>
        <w:rFonts w:hint="eastAsia" w:cs="Times New Roman"/>
      </w:rPr>
    </w:lvl>
    <w:lvl w:ilvl="1" w:tentative="0">
      <w:start w:val="1"/>
      <w:numFmt w:val="lowerLetter"/>
      <w:lvlText w:val="%2)"/>
      <w:lvlJc w:val="left"/>
      <w:pPr>
        <w:ind w:left="1410" w:hanging="420"/>
      </w:pPr>
      <w:rPr>
        <w:rFonts w:cs="Times New Roman"/>
      </w:rPr>
    </w:lvl>
    <w:lvl w:ilvl="2" w:tentative="0">
      <w:start w:val="1"/>
      <w:numFmt w:val="lowerRoman"/>
      <w:lvlText w:val="%3."/>
      <w:lvlJc w:val="right"/>
      <w:pPr>
        <w:ind w:left="1830" w:hanging="420"/>
      </w:pPr>
      <w:rPr>
        <w:rFonts w:cs="Times New Roman"/>
      </w:rPr>
    </w:lvl>
    <w:lvl w:ilvl="3" w:tentative="0">
      <w:start w:val="1"/>
      <w:numFmt w:val="decimal"/>
      <w:lvlText w:val="%4."/>
      <w:lvlJc w:val="left"/>
      <w:pPr>
        <w:ind w:left="2250" w:hanging="420"/>
      </w:pPr>
      <w:rPr>
        <w:rFonts w:cs="Times New Roman"/>
      </w:rPr>
    </w:lvl>
    <w:lvl w:ilvl="4" w:tentative="0">
      <w:start w:val="1"/>
      <w:numFmt w:val="lowerLetter"/>
      <w:lvlText w:val="%5)"/>
      <w:lvlJc w:val="left"/>
      <w:pPr>
        <w:ind w:left="2670" w:hanging="420"/>
      </w:pPr>
      <w:rPr>
        <w:rFonts w:cs="Times New Roman"/>
      </w:rPr>
    </w:lvl>
    <w:lvl w:ilvl="5" w:tentative="0">
      <w:start w:val="1"/>
      <w:numFmt w:val="lowerRoman"/>
      <w:lvlText w:val="%6."/>
      <w:lvlJc w:val="right"/>
      <w:pPr>
        <w:ind w:left="3090" w:hanging="420"/>
      </w:pPr>
      <w:rPr>
        <w:rFonts w:cs="Times New Roman"/>
      </w:rPr>
    </w:lvl>
    <w:lvl w:ilvl="6" w:tentative="0">
      <w:start w:val="1"/>
      <w:numFmt w:val="decimal"/>
      <w:lvlText w:val="%7."/>
      <w:lvlJc w:val="left"/>
      <w:pPr>
        <w:ind w:left="3510" w:hanging="420"/>
      </w:pPr>
      <w:rPr>
        <w:rFonts w:cs="Times New Roman"/>
      </w:rPr>
    </w:lvl>
    <w:lvl w:ilvl="7" w:tentative="0">
      <w:start w:val="1"/>
      <w:numFmt w:val="lowerLetter"/>
      <w:lvlText w:val="%8)"/>
      <w:lvlJc w:val="left"/>
      <w:pPr>
        <w:ind w:left="3930" w:hanging="420"/>
      </w:pPr>
      <w:rPr>
        <w:rFonts w:cs="Times New Roman"/>
      </w:rPr>
    </w:lvl>
    <w:lvl w:ilvl="8" w:tentative="0">
      <w:start w:val="1"/>
      <w:numFmt w:val="lowerRoman"/>
      <w:lvlText w:val="%9."/>
      <w:lvlJc w:val="right"/>
      <w:pPr>
        <w:ind w:left="4350" w:hanging="420"/>
      </w:pPr>
      <w:rPr>
        <w:rFonts w:cs="Times New Roman"/>
      </w:rPr>
    </w:lvl>
  </w:abstractNum>
  <w:abstractNum w:abstractNumId="18">
    <w:nsid w:val="0000001F"/>
    <w:multiLevelType w:val="multilevel"/>
    <w:tmpl w:val="0000001F"/>
    <w:lvl w:ilvl="0" w:tentative="0">
      <w:start w:val="1"/>
      <w:numFmt w:val="decimal"/>
      <w:lvlText w:val="第%1条"/>
      <w:lvlJc w:val="left"/>
      <w:pPr>
        <w:ind w:left="420" w:hanging="420"/>
      </w:pPr>
      <w:rPr>
        <w:rFonts w:hint="default" w:cs="Times New Roman"/>
        <w:b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9">
    <w:nsid w:val="00000020"/>
    <w:multiLevelType w:val="multilevel"/>
    <w:tmpl w:val="00000020"/>
    <w:lvl w:ilvl="0" w:tentative="0">
      <w:start w:val="1"/>
      <w:numFmt w:val="decimal"/>
      <w:lvlText w:val="%1)"/>
      <w:lvlJc w:val="left"/>
      <w:pPr>
        <w:ind w:left="990" w:hanging="420"/>
      </w:pPr>
      <w:rPr>
        <w:rFonts w:cs="Times New Roman"/>
      </w:rPr>
    </w:lvl>
    <w:lvl w:ilvl="1" w:tentative="0">
      <w:start w:val="1"/>
      <w:numFmt w:val="lowerLetter"/>
      <w:lvlText w:val="%2)"/>
      <w:lvlJc w:val="left"/>
      <w:pPr>
        <w:ind w:left="1410" w:hanging="420"/>
      </w:pPr>
      <w:rPr>
        <w:rFonts w:cs="Times New Roman"/>
      </w:rPr>
    </w:lvl>
    <w:lvl w:ilvl="2" w:tentative="0">
      <w:start w:val="1"/>
      <w:numFmt w:val="lowerRoman"/>
      <w:lvlText w:val="%3."/>
      <w:lvlJc w:val="right"/>
      <w:pPr>
        <w:ind w:left="1830" w:hanging="420"/>
      </w:pPr>
      <w:rPr>
        <w:rFonts w:cs="Times New Roman"/>
      </w:rPr>
    </w:lvl>
    <w:lvl w:ilvl="3" w:tentative="0">
      <w:start w:val="1"/>
      <w:numFmt w:val="decimal"/>
      <w:lvlText w:val="%4."/>
      <w:lvlJc w:val="left"/>
      <w:pPr>
        <w:ind w:left="2250" w:hanging="420"/>
      </w:pPr>
      <w:rPr>
        <w:rFonts w:cs="Times New Roman"/>
      </w:rPr>
    </w:lvl>
    <w:lvl w:ilvl="4" w:tentative="0">
      <w:start w:val="1"/>
      <w:numFmt w:val="lowerLetter"/>
      <w:lvlText w:val="%5)"/>
      <w:lvlJc w:val="left"/>
      <w:pPr>
        <w:ind w:left="2670" w:hanging="420"/>
      </w:pPr>
      <w:rPr>
        <w:rFonts w:cs="Times New Roman"/>
      </w:rPr>
    </w:lvl>
    <w:lvl w:ilvl="5" w:tentative="0">
      <w:start w:val="1"/>
      <w:numFmt w:val="lowerRoman"/>
      <w:lvlText w:val="%6."/>
      <w:lvlJc w:val="right"/>
      <w:pPr>
        <w:ind w:left="3090" w:hanging="420"/>
      </w:pPr>
      <w:rPr>
        <w:rFonts w:cs="Times New Roman"/>
      </w:rPr>
    </w:lvl>
    <w:lvl w:ilvl="6" w:tentative="0">
      <w:start w:val="1"/>
      <w:numFmt w:val="decimal"/>
      <w:lvlText w:val="%7."/>
      <w:lvlJc w:val="left"/>
      <w:pPr>
        <w:ind w:left="3510" w:hanging="420"/>
      </w:pPr>
      <w:rPr>
        <w:rFonts w:cs="Times New Roman"/>
      </w:rPr>
    </w:lvl>
    <w:lvl w:ilvl="7" w:tentative="0">
      <w:start w:val="1"/>
      <w:numFmt w:val="lowerLetter"/>
      <w:lvlText w:val="%8)"/>
      <w:lvlJc w:val="left"/>
      <w:pPr>
        <w:ind w:left="3930" w:hanging="420"/>
      </w:pPr>
      <w:rPr>
        <w:rFonts w:cs="Times New Roman"/>
      </w:rPr>
    </w:lvl>
    <w:lvl w:ilvl="8" w:tentative="0">
      <w:start w:val="1"/>
      <w:numFmt w:val="lowerRoman"/>
      <w:lvlText w:val="%9."/>
      <w:lvlJc w:val="right"/>
      <w:pPr>
        <w:ind w:left="4350" w:hanging="420"/>
      </w:pPr>
      <w:rPr>
        <w:rFonts w:cs="Times New Roman"/>
      </w:rPr>
    </w:lvl>
  </w:abstractNum>
  <w:num w:numId="1">
    <w:abstractNumId w:val="18"/>
  </w:num>
  <w:num w:numId="2">
    <w:abstractNumId w:val="13"/>
  </w:num>
  <w:num w:numId="3">
    <w:abstractNumId w:val="17"/>
  </w:num>
  <w:num w:numId="4">
    <w:abstractNumId w:val="19"/>
  </w:num>
  <w:num w:numId="5">
    <w:abstractNumId w:val="10"/>
  </w:num>
  <w:num w:numId="6">
    <w:abstractNumId w:val="12"/>
  </w:num>
  <w:num w:numId="7">
    <w:abstractNumId w:val="0"/>
  </w:num>
  <w:num w:numId="8">
    <w:abstractNumId w:val="9"/>
  </w:num>
  <w:num w:numId="9">
    <w:abstractNumId w:val="4"/>
  </w:num>
  <w:num w:numId="10">
    <w:abstractNumId w:val="1"/>
  </w:num>
  <w:num w:numId="11">
    <w:abstractNumId w:val="5"/>
  </w:num>
  <w:num w:numId="12">
    <w:abstractNumId w:val="3"/>
  </w:num>
  <w:num w:numId="13">
    <w:abstractNumId w:val="8"/>
  </w:num>
  <w:num w:numId="14">
    <w:abstractNumId w:val="7"/>
  </w:num>
  <w:num w:numId="15">
    <w:abstractNumId w:val="14"/>
  </w:num>
  <w:num w:numId="16">
    <w:abstractNumId w:val="6"/>
  </w:num>
  <w:num w:numId="17">
    <w:abstractNumId w:val="2"/>
  </w:num>
  <w:num w:numId="18">
    <w:abstractNumId w:val="15"/>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217445A"/>
    <w:rsid w:val="000F1874"/>
    <w:rsid w:val="002A16AE"/>
    <w:rsid w:val="00320D40"/>
    <w:rsid w:val="003252DE"/>
    <w:rsid w:val="00456335"/>
    <w:rsid w:val="004A3EFD"/>
    <w:rsid w:val="006D654D"/>
    <w:rsid w:val="008866A4"/>
    <w:rsid w:val="008D4B90"/>
    <w:rsid w:val="00921BB2"/>
    <w:rsid w:val="00A706F8"/>
    <w:rsid w:val="00B42868"/>
    <w:rsid w:val="00CC4B1B"/>
    <w:rsid w:val="00CE70C5"/>
    <w:rsid w:val="00E32529"/>
    <w:rsid w:val="00E54AD0"/>
    <w:rsid w:val="00FE047E"/>
    <w:rsid w:val="0217445A"/>
    <w:rsid w:val="02F270CB"/>
    <w:rsid w:val="039625EE"/>
    <w:rsid w:val="0509531C"/>
    <w:rsid w:val="068D74C1"/>
    <w:rsid w:val="06E14617"/>
    <w:rsid w:val="0783225A"/>
    <w:rsid w:val="09EE6B1C"/>
    <w:rsid w:val="0B03707A"/>
    <w:rsid w:val="0E5E6CC9"/>
    <w:rsid w:val="0EC319E3"/>
    <w:rsid w:val="0F761CE1"/>
    <w:rsid w:val="10583C89"/>
    <w:rsid w:val="10897170"/>
    <w:rsid w:val="18196B06"/>
    <w:rsid w:val="183F7904"/>
    <w:rsid w:val="184F2DA6"/>
    <w:rsid w:val="1BDE379B"/>
    <w:rsid w:val="1C4E68E3"/>
    <w:rsid w:val="1D54146F"/>
    <w:rsid w:val="1F7C651F"/>
    <w:rsid w:val="241630E8"/>
    <w:rsid w:val="24366C8E"/>
    <w:rsid w:val="265E7F55"/>
    <w:rsid w:val="292D15E6"/>
    <w:rsid w:val="2A84722B"/>
    <w:rsid w:val="2D6A3F18"/>
    <w:rsid w:val="2F097D8A"/>
    <w:rsid w:val="2F4D5B8F"/>
    <w:rsid w:val="32D94A92"/>
    <w:rsid w:val="35EA4EDA"/>
    <w:rsid w:val="364E4B13"/>
    <w:rsid w:val="370C0B64"/>
    <w:rsid w:val="38836C85"/>
    <w:rsid w:val="38BA7A02"/>
    <w:rsid w:val="39B62A64"/>
    <w:rsid w:val="3A363B45"/>
    <w:rsid w:val="3A577315"/>
    <w:rsid w:val="3AFA7880"/>
    <w:rsid w:val="3E142107"/>
    <w:rsid w:val="3EFC594A"/>
    <w:rsid w:val="40EF19F4"/>
    <w:rsid w:val="41BB4AA9"/>
    <w:rsid w:val="48D245EC"/>
    <w:rsid w:val="4ACD2FAA"/>
    <w:rsid w:val="4B66444B"/>
    <w:rsid w:val="4B7422A2"/>
    <w:rsid w:val="4BDE2AA2"/>
    <w:rsid w:val="4CC948DF"/>
    <w:rsid w:val="4D8F3020"/>
    <w:rsid w:val="4E73210F"/>
    <w:rsid w:val="4ED87270"/>
    <w:rsid w:val="4F1E588D"/>
    <w:rsid w:val="4FD35ED3"/>
    <w:rsid w:val="5220307A"/>
    <w:rsid w:val="52E04AE5"/>
    <w:rsid w:val="53D35D9E"/>
    <w:rsid w:val="56971954"/>
    <w:rsid w:val="59084E31"/>
    <w:rsid w:val="59630D10"/>
    <w:rsid w:val="5A087468"/>
    <w:rsid w:val="5A400C1D"/>
    <w:rsid w:val="5A674C86"/>
    <w:rsid w:val="5BE63B9E"/>
    <w:rsid w:val="5ED84BED"/>
    <w:rsid w:val="5FE7377E"/>
    <w:rsid w:val="646126C6"/>
    <w:rsid w:val="664157C7"/>
    <w:rsid w:val="66C16E00"/>
    <w:rsid w:val="67547CF0"/>
    <w:rsid w:val="67AC6409"/>
    <w:rsid w:val="68EB10CC"/>
    <w:rsid w:val="69B42909"/>
    <w:rsid w:val="6A017890"/>
    <w:rsid w:val="6B2472D5"/>
    <w:rsid w:val="6CC9344F"/>
    <w:rsid w:val="6E2638B1"/>
    <w:rsid w:val="6E9F0F7F"/>
    <w:rsid w:val="6ED02679"/>
    <w:rsid w:val="6FA4180C"/>
    <w:rsid w:val="749511F9"/>
    <w:rsid w:val="75DD3DF2"/>
    <w:rsid w:val="75F16267"/>
    <w:rsid w:val="76ED6298"/>
    <w:rsid w:val="79383498"/>
    <w:rsid w:val="7A3E5B2A"/>
    <w:rsid w:val="7B015100"/>
    <w:rsid w:val="7B835364"/>
    <w:rsid w:val="7BCF78F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locked/>
    <w:uiPriority w:val="0"/>
    <w:pPr>
      <w:keepNext/>
      <w:keepLines/>
      <w:spacing w:before="340" w:after="330" w:line="578" w:lineRule="auto"/>
      <w:outlineLvl w:val="0"/>
    </w:pPr>
    <w:rPr>
      <w:rFonts w:ascii="Calibri" w:hAnsi="Calibri"/>
      <w:b/>
      <w:bCs/>
      <w:kern w:val="44"/>
      <w:sz w:val="44"/>
      <w:szCs w:val="44"/>
    </w:rPr>
  </w:style>
  <w:style w:type="character" w:default="1" w:styleId="7">
    <w:name w:val="Default Paragraph Font"/>
    <w:semiHidden/>
    <w:qFormat/>
    <w:uiPriority w:val="99"/>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Body Text Indent"/>
    <w:basedOn w:val="1"/>
    <w:link w:val="10"/>
    <w:qFormat/>
    <w:uiPriority w:val="99"/>
    <w:pPr>
      <w:ind w:firstLine="420" w:firstLineChars="200"/>
    </w:pPr>
    <w:rPr>
      <w:szCs w:val="18"/>
    </w:rPr>
  </w:style>
  <w:style w:type="paragraph" w:styleId="4">
    <w:name w:val="Plain Text"/>
    <w:basedOn w:val="1"/>
    <w:link w:val="11"/>
    <w:qFormat/>
    <w:uiPriority w:val="99"/>
    <w:pPr>
      <w:spacing w:line="580" w:lineRule="exact"/>
      <w:ind w:right="-197" w:firstLine="560" w:firstLineChars="200"/>
    </w:pPr>
    <w:rPr>
      <w:rFonts w:ascii="黑体" w:hAnsi="Courier New" w:eastAsia="黑体"/>
      <w:sz w:val="28"/>
      <w:szCs w:val="20"/>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qFormat/>
    <w:uiPriority w:val="99"/>
    <w:rPr>
      <w:rFonts w:cs="Times New Roman"/>
      <w:sz w:val="21"/>
    </w:rPr>
  </w:style>
  <w:style w:type="character" w:customStyle="1" w:styleId="10">
    <w:name w:val="Body Text Indent Char"/>
    <w:basedOn w:val="7"/>
    <w:link w:val="3"/>
    <w:semiHidden/>
    <w:qFormat/>
    <w:locked/>
    <w:uiPriority w:val="99"/>
    <w:rPr>
      <w:rFonts w:cs="Times New Roman"/>
      <w:sz w:val="24"/>
      <w:szCs w:val="24"/>
    </w:rPr>
  </w:style>
  <w:style w:type="character" w:customStyle="1" w:styleId="11">
    <w:name w:val="Plain Text Char"/>
    <w:basedOn w:val="7"/>
    <w:link w:val="4"/>
    <w:semiHidden/>
    <w:qFormat/>
    <w:locked/>
    <w:uiPriority w:val="99"/>
    <w:rPr>
      <w:rFonts w:ascii="宋体" w:hAnsi="Courier New" w:cs="Courier New"/>
      <w:sz w:val="21"/>
      <w:szCs w:val="21"/>
    </w:rPr>
  </w:style>
  <w:style w:type="character" w:customStyle="1" w:styleId="12">
    <w:name w:val="Footer Char"/>
    <w:basedOn w:val="7"/>
    <w:link w:val="5"/>
    <w:qFormat/>
    <w:locked/>
    <w:uiPriority w:val="99"/>
    <w:rPr>
      <w:rFonts w:cs="Times New Roman"/>
      <w:kern w:val="2"/>
      <w:sz w:val="18"/>
      <w:szCs w:val="18"/>
    </w:rPr>
  </w:style>
  <w:style w:type="character" w:customStyle="1" w:styleId="13">
    <w:name w:val="Header Char"/>
    <w:basedOn w:val="7"/>
    <w:link w:val="6"/>
    <w:qFormat/>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16</Pages>
  <Words>1491</Words>
  <Characters>8505</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2017-11-12T02:53:00Z</dcterms:created>
  <dc:creator>HP</dc:creator>
  <cp:lastModifiedBy>WPS_1528009484</cp:lastModifiedBy>
  <dcterms:modified xsi:type="dcterms:W3CDTF">2018-06-21T01:00:24Z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